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1AF" w14:textId="67D7ED0B" w:rsidR="00C3089D" w:rsidRPr="002D255E" w:rsidRDefault="005C51C1" w:rsidP="00C3089D">
      <w:pPr>
        <w:spacing w:line="240" w:lineRule="auto"/>
        <w:ind w:left="-709" w:right="-711"/>
        <w:rPr>
          <w:rFonts w:cs="Arial"/>
          <w:sz w:val="36"/>
          <w:szCs w:val="36"/>
        </w:rPr>
      </w:pPr>
      <w:r>
        <w:rPr>
          <w:rFonts w:cs="Arial"/>
          <w:sz w:val="36"/>
          <w:szCs w:val="36"/>
        </w:rPr>
        <w:t>Shared care prescribing guideline</w:t>
      </w:r>
      <w:r w:rsidR="00C3089D" w:rsidRPr="002D255E">
        <w:rPr>
          <w:rFonts w:cs="Arial"/>
          <w:sz w:val="36"/>
          <w:szCs w:val="36"/>
        </w:rPr>
        <w:t>:</w:t>
      </w:r>
    </w:p>
    <w:p w14:paraId="7B5BA465" w14:textId="42FD3B24" w:rsidR="00A0218C" w:rsidRPr="005C51C1" w:rsidRDefault="005C51C1" w:rsidP="004206F9">
      <w:pPr>
        <w:pStyle w:val="Subtitle"/>
        <w:spacing w:before="240" w:after="120"/>
        <w:ind w:left="-709"/>
        <w:rPr>
          <w:rFonts w:eastAsiaTheme="majorEastAsia" w:cstheme="majorBidi"/>
          <w:color w:val="FF0000"/>
          <w:spacing w:val="-10"/>
          <w:kern w:val="28"/>
          <w:sz w:val="48"/>
          <w:szCs w:val="56"/>
        </w:rPr>
      </w:pPr>
      <w:r w:rsidRPr="005C51C1">
        <w:rPr>
          <w:rFonts w:eastAsiaTheme="majorEastAsia" w:cstheme="majorBidi"/>
          <w:color w:val="FF0000"/>
          <w:spacing w:val="-10"/>
          <w:kern w:val="28"/>
          <w:sz w:val="48"/>
          <w:szCs w:val="56"/>
        </w:rPr>
        <w:t>Name of medicine and indication</w:t>
      </w:r>
    </w:p>
    <w:p w14:paraId="0BEDCEE3" w14:textId="47D9C87B" w:rsidR="004206F9" w:rsidRPr="005C51C1" w:rsidRDefault="005C51C1" w:rsidP="00F02977">
      <w:pPr>
        <w:pStyle w:val="Subtitle"/>
        <w:spacing w:before="240" w:after="120"/>
        <w:ind w:left="-709"/>
        <w:contextualSpacing w:val="0"/>
        <w:rPr>
          <w:color w:val="FF0000"/>
        </w:rPr>
      </w:pPr>
      <w:r w:rsidRPr="005C51C1">
        <w:rPr>
          <w:color w:val="FF0000"/>
        </w:rPr>
        <w:t>Date XXX</w:t>
      </w:r>
      <w:r w:rsidR="004206F9" w:rsidRPr="005C51C1">
        <w:rPr>
          <w:color w:val="FF0000"/>
        </w:rPr>
        <w:t xml:space="preserve">, Version </w:t>
      </w:r>
      <w:r w:rsidRPr="005C51C1">
        <w:rPr>
          <w:color w:val="FF0000"/>
        </w:rPr>
        <w:t>X</w:t>
      </w:r>
    </w:p>
    <w:p w14:paraId="6AAA6B17" w14:textId="6B2CDFD5" w:rsidR="00F02977" w:rsidRDefault="00F02977" w:rsidP="00F02977">
      <w:pPr>
        <w:spacing w:before="120" w:after="120" w:line="240" w:lineRule="auto"/>
        <w:ind w:left="-709"/>
        <w:rPr>
          <w:color w:val="FF0000"/>
        </w:rPr>
      </w:pPr>
      <w:r>
        <w:rPr>
          <w:color w:val="FF0000"/>
        </w:rPr>
        <w:t xml:space="preserve">Approved by the BLMK Area Prescribing Committee: </w:t>
      </w:r>
      <w:r w:rsidRPr="00F02977">
        <w:rPr>
          <w:color w:val="FF0000"/>
        </w:rPr>
        <w:t>Month / Year</w:t>
      </w:r>
    </w:p>
    <w:p w14:paraId="7D1EF5D9" w14:textId="09711D2E" w:rsidR="004206F9" w:rsidRDefault="004206F9" w:rsidP="004206F9">
      <w:pPr>
        <w:ind w:left="-709"/>
        <w:rPr>
          <w:color w:val="FF0000"/>
        </w:rPr>
      </w:pPr>
      <w:r w:rsidRPr="005C51C1">
        <w:rPr>
          <w:color w:val="FF0000"/>
        </w:rPr>
        <w:t xml:space="preserve">Review date – </w:t>
      </w:r>
      <w:r w:rsidR="00F02977">
        <w:rPr>
          <w:color w:val="FF0000"/>
        </w:rPr>
        <w:t>M</w:t>
      </w:r>
      <w:r w:rsidR="004111C8">
        <w:rPr>
          <w:color w:val="FF0000"/>
        </w:rPr>
        <w:t>onth</w:t>
      </w:r>
      <w:r w:rsidR="00F02977">
        <w:rPr>
          <w:color w:val="FF0000"/>
        </w:rPr>
        <w:t xml:space="preserve"> / Y</w:t>
      </w:r>
      <w:r w:rsidR="004111C8">
        <w:rPr>
          <w:color w:val="FF0000"/>
        </w:rPr>
        <w:t>ear</w:t>
      </w:r>
    </w:p>
    <w:p w14:paraId="6F75F547" w14:textId="4D295825" w:rsidR="005C51C1" w:rsidRPr="005C51C1" w:rsidRDefault="005C51C1" w:rsidP="004206F9">
      <w:pPr>
        <w:ind w:left="-709"/>
        <w:rPr>
          <w:color w:val="FF0000"/>
          <w:sz w:val="20"/>
          <w:szCs w:val="18"/>
        </w:rPr>
      </w:pPr>
      <w:r w:rsidRPr="005C51C1">
        <w:rPr>
          <w:color w:val="FF0000"/>
          <w:sz w:val="20"/>
          <w:szCs w:val="18"/>
          <w:highlight w:val="yellow"/>
        </w:rPr>
        <w:t>All text printed in red should be superseded or deleted when preparing a new shared care document.</w:t>
      </w:r>
    </w:p>
    <w:tbl>
      <w:tblPr>
        <w:tblStyle w:val="TableGrid"/>
        <w:tblW w:w="10490" w:type="dxa"/>
        <w:tblInd w:w="-714" w:type="dxa"/>
        <w:tblLook w:val="04A0" w:firstRow="1" w:lastRow="0" w:firstColumn="1" w:lastColumn="0" w:noHBand="0" w:noVBand="1"/>
      </w:tblPr>
      <w:tblGrid>
        <w:gridCol w:w="10490"/>
      </w:tblGrid>
      <w:tr w:rsidR="004111C8" w14:paraId="542FC663" w14:textId="77777777" w:rsidTr="004111C8">
        <w:tc>
          <w:tcPr>
            <w:tcW w:w="10490" w:type="dxa"/>
          </w:tcPr>
          <w:p w14:paraId="09CC91E4" w14:textId="15224DBB" w:rsidR="004111C8" w:rsidRPr="00924775" w:rsidRDefault="004111C8" w:rsidP="004111C8">
            <w:pPr>
              <w:spacing w:after="200" w:line="276" w:lineRule="auto"/>
              <w:rPr>
                <w:rFonts w:eastAsia="Calibri" w:cs="Arial"/>
                <w:b/>
                <w:bCs/>
                <w:color w:val="242424"/>
                <w:sz w:val="22"/>
                <w:shd w:val="clear" w:color="auto" w:fill="FFFFFF"/>
              </w:rPr>
            </w:pPr>
            <w:r w:rsidRPr="00924775">
              <w:rPr>
                <w:rFonts w:eastAsia="Calibri" w:cs="Arial"/>
                <w:b/>
                <w:bCs/>
                <w:sz w:val="22"/>
                <w:shd w:val="clear" w:color="auto" w:fill="FFFFFF"/>
              </w:rPr>
              <w:t xml:space="preserve">The content of this shared care guideline was correct as of </w:t>
            </w:r>
            <w:r w:rsidRPr="00924775">
              <w:rPr>
                <w:rFonts w:eastAsia="Calibri" w:cs="Arial"/>
                <w:b/>
                <w:bCs/>
                <w:color w:val="FF0000"/>
                <w:sz w:val="22"/>
                <w:shd w:val="clear" w:color="auto" w:fill="FFFFFF"/>
              </w:rPr>
              <w:t>enter date (month &amp; year)</w:t>
            </w:r>
            <w:r w:rsidRPr="00924775">
              <w:rPr>
                <w:rFonts w:eastAsia="Calibri" w:cs="Arial"/>
                <w:b/>
                <w:bCs/>
                <w:sz w:val="22"/>
                <w:shd w:val="clear" w:color="auto" w:fill="FFFFFF"/>
              </w:rPr>
              <w:t xml:space="preserve">. As well </w:t>
            </w:r>
            <w:r w:rsidR="00F02977" w:rsidRPr="00924775">
              <w:rPr>
                <w:rFonts w:eastAsia="Calibri" w:cs="Arial"/>
                <w:b/>
                <w:bCs/>
                <w:sz w:val="22"/>
                <w:shd w:val="clear" w:color="auto" w:fill="FFFFFF"/>
              </w:rPr>
              <w:t xml:space="preserve">as </w:t>
            </w:r>
            <w:r w:rsidRPr="00924775">
              <w:rPr>
                <w:rFonts w:eastAsia="Calibri" w:cs="Arial"/>
                <w:b/>
                <w:bCs/>
                <w:sz w:val="22"/>
                <w:shd w:val="clear" w:color="auto" w:fill="FFFFFF"/>
              </w:rPr>
              <w:t>this document, please ensure that </w:t>
            </w:r>
            <w:hyperlink r:id="rId11" w:tgtFrame="_blank" w:tooltip="https://www.medicines.org.uk/emc/" w:history="1">
              <w:r w:rsidRPr="00B432BB">
                <w:rPr>
                  <w:rStyle w:val="Hyperlink"/>
                  <w:rFonts w:eastAsia="Calibri" w:cs="Arial"/>
                  <w:b/>
                  <w:bCs/>
                  <w:sz w:val="22"/>
                  <w:shd w:val="clear" w:color="auto" w:fill="FFFFFF"/>
                </w:rPr>
                <w:t>summaries of product characteristics </w:t>
              </w:r>
            </w:hyperlink>
            <w:r w:rsidRPr="00924775">
              <w:rPr>
                <w:rFonts w:eastAsia="Calibri" w:cs="Arial"/>
                <w:b/>
                <w:bCs/>
                <w:color w:val="242424"/>
                <w:sz w:val="22"/>
                <w:shd w:val="clear" w:color="auto" w:fill="FFFFFF"/>
              </w:rPr>
              <w:t xml:space="preserve">(SPCs), </w:t>
            </w:r>
            <w:hyperlink r:id="rId12" w:history="1">
              <w:r w:rsidRPr="00B432BB">
                <w:rPr>
                  <w:rStyle w:val="Hyperlink"/>
                  <w:rFonts w:eastAsia="Calibri" w:cs="Arial"/>
                  <w:b/>
                  <w:bCs/>
                  <w:sz w:val="22"/>
                  <w:shd w:val="clear" w:color="auto" w:fill="FFFFFF"/>
                </w:rPr>
                <w:t xml:space="preserve">British </w:t>
              </w:r>
              <w:r w:rsidR="001775A2" w:rsidRPr="00B432BB">
                <w:rPr>
                  <w:rStyle w:val="Hyperlink"/>
                  <w:rFonts w:eastAsia="Calibri" w:cs="Arial"/>
                  <w:b/>
                  <w:bCs/>
                  <w:sz w:val="22"/>
                  <w:shd w:val="clear" w:color="auto" w:fill="FFFFFF"/>
                </w:rPr>
                <w:t>N</w:t>
              </w:r>
              <w:r w:rsidRPr="00B432BB">
                <w:rPr>
                  <w:rStyle w:val="Hyperlink"/>
                  <w:rFonts w:eastAsia="Calibri" w:cs="Arial"/>
                  <w:b/>
                  <w:bCs/>
                  <w:sz w:val="22"/>
                  <w:shd w:val="clear" w:color="auto" w:fill="FFFFFF"/>
                </w:rPr>
                <w:t xml:space="preserve">ational </w:t>
              </w:r>
              <w:r w:rsidR="001775A2" w:rsidRPr="00B432BB">
                <w:rPr>
                  <w:rStyle w:val="Hyperlink"/>
                  <w:rFonts w:eastAsia="Calibri" w:cs="Arial"/>
                  <w:b/>
                  <w:bCs/>
                  <w:sz w:val="22"/>
                  <w:shd w:val="clear" w:color="auto" w:fill="FFFFFF"/>
                </w:rPr>
                <w:t>F</w:t>
              </w:r>
              <w:r w:rsidRPr="00B432BB">
                <w:rPr>
                  <w:rStyle w:val="Hyperlink"/>
                  <w:rFonts w:eastAsia="Calibri" w:cs="Arial"/>
                  <w:b/>
                  <w:bCs/>
                  <w:sz w:val="22"/>
                  <w:shd w:val="clear" w:color="auto" w:fill="FFFFFF"/>
                </w:rPr>
                <w:t>ormulary </w:t>
              </w:r>
            </w:hyperlink>
            <w:r w:rsidRPr="00924775">
              <w:rPr>
                <w:rFonts w:eastAsia="Calibri" w:cs="Arial"/>
                <w:b/>
                <w:bCs/>
                <w:color w:val="242424"/>
                <w:sz w:val="22"/>
                <w:shd w:val="clear" w:color="auto" w:fill="FFFFFF"/>
              </w:rPr>
              <w:t>(BNF) or the </w:t>
            </w:r>
            <w:hyperlink r:id="rId13" w:history="1">
              <w:r w:rsidRPr="00B432BB">
                <w:rPr>
                  <w:rStyle w:val="Hyperlink"/>
                  <w:rFonts w:eastAsia="Calibri" w:cs="Arial"/>
                  <w:b/>
                  <w:bCs/>
                  <w:sz w:val="22"/>
                  <w:shd w:val="clear" w:color="auto" w:fill="FFFFFF"/>
                </w:rPr>
                <w:t>Medicines and He</w:t>
              </w:r>
              <w:r w:rsidRPr="00B432BB">
                <w:rPr>
                  <w:rStyle w:val="Hyperlink"/>
                  <w:rFonts w:eastAsia="Calibri" w:cs="Arial"/>
                  <w:b/>
                  <w:bCs/>
                  <w:sz w:val="22"/>
                  <w:shd w:val="clear" w:color="auto" w:fill="FFFFFF"/>
                </w:rPr>
                <w:t>a</w:t>
              </w:r>
              <w:r w:rsidRPr="00B432BB">
                <w:rPr>
                  <w:rStyle w:val="Hyperlink"/>
                  <w:rFonts w:eastAsia="Calibri" w:cs="Arial"/>
                  <w:b/>
                  <w:bCs/>
                  <w:sz w:val="22"/>
                  <w:shd w:val="clear" w:color="auto" w:fill="FFFFFF"/>
                </w:rPr>
                <w:t>lthcare products Regulatory Agency </w:t>
              </w:r>
            </w:hyperlink>
            <w:r w:rsidRPr="00924775">
              <w:rPr>
                <w:rFonts w:eastAsia="Calibri" w:cs="Arial"/>
                <w:b/>
                <w:bCs/>
                <w:color w:val="242424"/>
                <w:sz w:val="22"/>
                <w:shd w:val="clear" w:color="auto" w:fill="FFFFFF"/>
              </w:rPr>
              <w:t>(MHRA) or </w:t>
            </w:r>
            <w:hyperlink r:id="rId14" w:tgtFrame="_blank" w:tooltip="https://www.nice.org.uk/" w:history="1">
              <w:r w:rsidRPr="00924775">
                <w:rPr>
                  <w:rFonts w:eastAsia="Calibri" w:cs="Arial"/>
                  <w:b/>
                  <w:bCs/>
                  <w:color w:val="4F52B2"/>
                  <w:sz w:val="22"/>
                  <w:u w:val="single"/>
                  <w:shd w:val="clear" w:color="auto" w:fill="FFFFFF"/>
                </w:rPr>
                <w:t>NICE</w:t>
              </w:r>
            </w:hyperlink>
            <w:r w:rsidRPr="00924775">
              <w:rPr>
                <w:rFonts w:eastAsia="Calibri" w:cs="Arial"/>
                <w:b/>
                <w:bCs/>
                <w:color w:val="242424"/>
                <w:sz w:val="22"/>
                <w:shd w:val="clear" w:color="auto" w:fill="FFFFFF"/>
              </w:rPr>
              <w:t> websites are reviewed for up-to-date information on any medicine.</w:t>
            </w:r>
          </w:p>
          <w:p w14:paraId="5A9D00AD" w14:textId="5ECD8C3F" w:rsidR="004111C8" w:rsidRPr="004111C8" w:rsidRDefault="004111C8" w:rsidP="00B432BB">
            <w:pPr>
              <w:spacing w:after="120" w:line="240" w:lineRule="auto"/>
              <w:rPr>
                <w:b/>
                <w:bCs/>
              </w:rPr>
            </w:pPr>
            <w:r w:rsidRPr="00924775">
              <w:rPr>
                <w:b/>
                <w:bCs/>
                <w:sz w:val="22"/>
              </w:rPr>
              <w:t xml:space="preserve">This guideline should also be read in conjunction with the </w:t>
            </w:r>
            <w:hyperlink r:id="rId15" w:history="1">
              <w:r w:rsidRPr="003504BF">
                <w:rPr>
                  <w:rStyle w:val="Hyperlink"/>
                  <w:b/>
                  <w:bCs/>
                  <w:sz w:val="22"/>
                </w:rPr>
                <w:t>BLMK Principles for Shared Care</w:t>
              </w:r>
            </w:hyperlink>
            <w:r w:rsidRPr="00924775">
              <w:rPr>
                <w:b/>
                <w:bCs/>
                <w:sz w:val="22"/>
              </w:rPr>
              <w:t xml:space="preserve"> which provide additional detail to support prescribers.</w:t>
            </w:r>
          </w:p>
        </w:tc>
      </w:tr>
    </w:tbl>
    <w:p w14:paraId="69FD2FF5" w14:textId="13B4356E" w:rsidR="004111C8" w:rsidRPr="004111C8" w:rsidRDefault="004111C8" w:rsidP="0093397B">
      <w:pPr>
        <w:rPr>
          <w:sz w:val="22"/>
          <w:szCs w:val="20"/>
        </w:rPr>
        <w:sectPr w:rsidR="004111C8" w:rsidRPr="004111C8" w:rsidSect="004111C8">
          <w:footerReference w:type="default" r:id="rId16"/>
          <w:headerReference w:type="first" r:id="rId17"/>
          <w:footerReference w:type="first" r:id="rId18"/>
          <w:pgSz w:w="11906" w:h="16838"/>
          <w:pgMar w:top="2410"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2D255E" w14:paraId="146E6787" w14:textId="77777777" w:rsidTr="7234176C">
        <w:trPr>
          <w:jc w:val="center"/>
        </w:trPr>
        <w:tc>
          <w:tcPr>
            <w:tcW w:w="10455" w:type="dxa"/>
            <w:gridSpan w:val="3"/>
            <w:tcBorders>
              <w:bottom w:val="single" w:sz="4" w:space="0" w:color="auto"/>
            </w:tcBorders>
            <w:shd w:val="clear" w:color="auto" w:fill="F2F2F2" w:themeFill="background1" w:themeFillShade="F2"/>
          </w:tcPr>
          <w:p w14:paraId="7A244829" w14:textId="6843A232" w:rsidR="00055685" w:rsidRDefault="00055685" w:rsidP="007C7494">
            <w:pPr>
              <w:pStyle w:val="Heading2"/>
              <w:spacing w:before="0"/>
              <w:rPr>
                <w:lang w:eastAsia="en-GB"/>
              </w:rPr>
            </w:pPr>
            <w:bookmarkStart w:id="0" w:name="Responsibilities"/>
            <w:r w:rsidRPr="002D255E">
              <w:rPr>
                <w:lang w:eastAsia="en-GB"/>
              </w:rPr>
              <w:t>Specialist responsibilities</w:t>
            </w:r>
          </w:p>
          <w:p w14:paraId="1E0DDD91" w14:textId="14F9BEA6" w:rsidR="00F60E04" w:rsidRPr="00F60E04" w:rsidRDefault="00F60E04" w:rsidP="00F60E04">
            <w:pPr>
              <w:spacing w:after="120" w:line="240" w:lineRule="auto"/>
              <w:rPr>
                <w:rFonts w:cs="Arial"/>
                <w:i/>
                <w:color w:val="FF0000"/>
                <w:sz w:val="20"/>
              </w:rPr>
            </w:pPr>
            <w:r w:rsidRPr="00A4646B">
              <w:rPr>
                <w:rFonts w:cs="Arial"/>
                <w:i/>
                <w:color w:val="FF0000"/>
                <w:sz w:val="20"/>
              </w:rPr>
              <w:t>(</w:t>
            </w:r>
            <w:r>
              <w:rPr>
                <w:rFonts w:cs="Arial"/>
                <w:i/>
                <w:color w:val="FF0000"/>
                <w:sz w:val="20"/>
              </w:rPr>
              <w:t>Add in any other roles and responsibilities specific to the medicine in this shared care guideline, e.g. follow-up and monitoring arrangements, communication with Primary Care prescriber, details to provide to Primary Care prescriber, provision of patient information, etc.)</w:t>
            </w:r>
          </w:p>
          <w:p w14:paraId="36FE4FDD" w14:textId="2B1293D6"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szCs w:val="20"/>
                <w:lang w:eastAsia="en-GB"/>
              </w:rPr>
            </w:pPr>
            <w:r w:rsidRPr="00924775">
              <w:rPr>
                <w:rFonts w:eastAsia="Times New Roman" w:cstheme="minorHAnsi"/>
                <w:iCs/>
                <w:color w:val="000000"/>
                <w:sz w:val="22"/>
                <w:szCs w:val="20"/>
                <w:lang w:eastAsia="en-GB"/>
              </w:rPr>
              <w:t xml:space="preserve">Assess the patient and provide diagnosis; ensure that this diagnosis is within scope of this shared care </w:t>
            </w:r>
            <w:r w:rsidR="00F02977" w:rsidRPr="00924775">
              <w:rPr>
                <w:rFonts w:eastAsia="Times New Roman" w:cstheme="minorHAnsi"/>
                <w:iCs/>
                <w:color w:val="000000"/>
                <w:sz w:val="22"/>
                <w:szCs w:val="20"/>
                <w:lang w:eastAsia="en-GB"/>
              </w:rPr>
              <w:t>guideline</w:t>
            </w:r>
            <w:r w:rsidRPr="00924775">
              <w:rPr>
                <w:rFonts w:eastAsia="Times New Roman" w:cstheme="minorHAnsi"/>
                <w:iCs/>
                <w:color w:val="000000"/>
                <w:sz w:val="22"/>
                <w:szCs w:val="20"/>
                <w:lang w:eastAsia="en-GB"/>
              </w:rPr>
              <w:t xml:space="preserve"> (</w:t>
            </w:r>
            <w:hyperlink w:anchor="Two_indications" w:history="1">
              <w:r w:rsidRPr="00F83C4F">
                <w:rPr>
                  <w:rStyle w:val="Hyperlink"/>
                  <w:rFonts w:eastAsia="Times New Roman" w:cstheme="minorHAnsi"/>
                  <w:iCs/>
                  <w:sz w:val="22"/>
                  <w:szCs w:val="20"/>
                  <w:lang w:eastAsia="en-GB"/>
                </w:rPr>
                <w:t>section 2</w:t>
              </w:r>
            </w:hyperlink>
            <w:r w:rsidRPr="00924775">
              <w:rPr>
                <w:rFonts w:eastAsia="Times New Roman" w:cstheme="minorHAnsi"/>
                <w:iCs/>
                <w:color w:val="000000"/>
                <w:sz w:val="22"/>
                <w:szCs w:val="20"/>
                <w:lang w:eastAsia="en-GB"/>
              </w:rPr>
              <w:t>) and communicated to primary care.</w:t>
            </w:r>
          </w:p>
          <w:p w14:paraId="554AA547" w14:textId="3D5909E0" w:rsidR="008D5964" w:rsidRPr="00924775" w:rsidRDefault="008D5964" w:rsidP="00924775">
            <w:pPr>
              <w:pStyle w:val="ListParagraph"/>
              <w:numPr>
                <w:ilvl w:val="0"/>
                <w:numId w:val="22"/>
              </w:numPr>
              <w:spacing w:before="60" w:after="60" w:line="240" w:lineRule="auto"/>
              <w:contextualSpacing/>
              <w:rPr>
                <w:rFonts w:eastAsia="Times New Roman" w:cstheme="minorHAnsi"/>
                <w:iCs/>
                <w:color w:val="000000"/>
                <w:sz w:val="22"/>
                <w:szCs w:val="20"/>
                <w:lang w:eastAsia="en-GB"/>
              </w:rPr>
            </w:pPr>
            <w:r w:rsidRPr="00924775">
              <w:rPr>
                <w:rFonts w:eastAsia="Times New Roman" w:cstheme="minorHAnsi"/>
                <w:iCs/>
                <w:color w:val="000000"/>
                <w:sz w:val="22"/>
                <w:szCs w:val="20"/>
                <w:lang w:eastAsia="en-GB"/>
              </w:rPr>
              <w:t xml:space="preserve">Use a shared decision making approach; discuss the benefits and risks of the treatment with the patient and/or their carer and provide the appropriate counselling (see </w:t>
            </w:r>
            <w:hyperlink w:anchor="Ten_advice_to_patients" w:history="1">
              <w:r w:rsidRPr="0062294F">
                <w:rPr>
                  <w:rStyle w:val="Hyperlink"/>
                  <w:rFonts w:eastAsia="Times New Roman" w:cstheme="minorHAnsi"/>
                  <w:iCs/>
                  <w:sz w:val="22"/>
                  <w:szCs w:val="20"/>
                  <w:lang w:eastAsia="en-GB"/>
                </w:rPr>
                <w:t>section 1</w:t>
              </w:r>
              <w:r w:rsidR="00672DE2" w:rsidRPr="0062294F">
                <w:rPr>
                  <w:rStyle w:val="Hyperlink"/>
                  <w:rFonts w:eastAsia="Times New Roman" w:cstheme="minorHAnsi"/>
                  <w:iCs/>
                  <w:sz w:val="22"/>
                  <w:szCs w:val="20"/>
                  <w:lang w:eastAsia="en-GB"/>
                </w:rPr>
                <w:t>0</w:t>
              </w:r>
            </w:hyperlink>
            <w:r w:rsidRPr="00924775">
              <w:rPr>
                <w:rFonts w:eastAsia="Times New Roman" w:cstheme="minorHAnsi"/>
                <w:iCs/>
                <w:color w:val="000000"/>
                <w:sz w:val="22"/>
                <w:szCs w:val="20"/>
                <w:lang w:eastAsia="en-GB"/>
              </w:rPr>
              <w:t>) to enable the patient to reach an informed decision. Obtain and document patient consent. Provide an appropriate patient information leaflet.</w:t>
            </w:r>
            <w:r w:rsidR="00F34FCB">
              <w:t xml:space="preserve"> </w:t>
            </w:r>
          </w:p>
          <w:p w14:paraId="60732368" w14:textId="294ED6FD" w:rsidR="008D5964" w:rsidRPr="00924775" w:rsidRDefault="008D5964" w:rsidP="00924775">
            <w:pPr>
              <w:pStyle w:val="ListParagraph"/>
              <w:numPr>
                <w:ilvl w:val="0"/>
                <w:numId w:val="22"/>
              </w:numPr>
              <w:spacing w:after="0" w:line="240" w:lineRule="auto"/>
              <w:ind w:left="357" w:hanging="357"/>
              <w:contextualSpacing/>
              <w:rPr>
                <w:rFonts w:eastAsia="Times New Roman" w:cstheme="minorHAnsi"/>
                <w:iCs/>
                <w:color w:val="000000"/>
                <w:sz w:val="22"/>
                <w:szCs w:val="20"/>
                <w:lang w:eastAsia="en-GB"/>
              </w:rPr>
            </w:pPr>
            <w:r w:rsidRPr="00924775">
              <w:rPr>
                <w:rFonts w:eastAsia="Times New Roman" w:cstheme="minorHAnsi"/>
                <w:iCs/>
                <w:color w:val="000000"/>
                <w:sz w:val="22"/>
                <w:szCs w:val="20"/>
                <w:lang w:eastAsia="en-GB"/>
              </w:rPr>
              <w:t xml:space="preserve">Assess for contraindications and cautions (see </w:t>
            </w:r>
            <w:hyperlink w:anchor="Three_Cx_and_cautions" w:history="1">
              <w:r w:rsidRPr="00F83C4F">
                <w:rPr>
                  <w:rStyle w:val="Hyperlink"/>
                  <w:rFonts w:eastAsia="Times New Roman" w:cstheme="minorHAnsi"/>
                  <w:iCs/>
                  <w:sz w:val="22"/>
                  <w:szCs w:val="20"/>
                  <w:lang w:eastAsia="en-GB"/>
                </w:rPr>
                <w:t xml:space="preserve">section </w:t>
              </w:r>
              <w:r w:rsidR="00F83C4F" w:rsidRPr="00F83C4F">
                <w:rPr>
                  <w:rStyle w:val="Hyperlink"/>
                  <w:rFonts w:eastAsia="Times New Roman" w:cstheme="minorHAnsi"/>
                  <w:iCs/>
                  <w:sz w:val="22"/>
                  <w:szCs w:val="20"/>
                  <w:lang w:eastAsia="en-GB"/>
                </w:rPr>
                <w:t>3</w:t>
              </w:r>
            </w:hyperlink>
            <w:r w:rsidRPr="00924775">
              <w:rPr>
                <w:rFonts w:eastAsia="Times New Roman" w:cstheme="minorHAnsi"/>
                <w:iCs/>
                <w:color w:val="000000"/>
                <w:sz w:val="22"/>
                <w:szCs w:val="20"/>
                <w:lang w:eastAsia="en-GB"/>
              </w:rPr>
              <w:t xml:space="preserve">) and interactions (see </w:t>
            </w:r>
            <w:hyperlink w:anchor="Six_interactions" w:history="1">
              <w:r w:rsidRPr="00F83C4F">
                <w:rPr>
                  <w:rStyle w:val="Hyperlink"/>
                  <w:rFonts w:eastAsia="Times New Roman" w:cstheme="minorHAnsi"/>
                  <w:iCs/>
                  <w:sz w:val="22"/>
                  <w:szCs w:val="20"/>
                  <w:lang w:eastAsia="en-GB"/>
                </w:rPr>
                <w:t xml:space="preserve">section </w:t>
              </w:r>
              <w:r w:rsidR="00F83C4F" w:rsidRPr="00F83C4F">
                <w:rPr>
                  <w:rStyle w:val="Hyperlink"/>
                  <w:rFonts w:eastAsia="Times New Roman" w:cstheme="minorHAnsi"/>
                  <w:iCs/>
                  <w:sz w:val="22"/>
                  <w:szCs w:val="20"/>
                  <w:lang w:eastAsia="en-GB"/>
                </w:rPr>
                <w:t>6</w:t>
              </w:r>
            </w:hyperlink>
            <w:r w:rsidRPr="00924775">
              <w:rPr>
                <w:rFonts w:eastAsia="Times New Roman" w:cstheme="minorHAnsi"/>
                <w:iCs/>
                <w:color w:val="000000"/>
                <w:sz w:val="22"/>
                <w:szCs w:val="20"/>
                <w:lang w:eastAsia="en-GB"/>
              </w:rPr>
              <w:t>).</w:t>
            </w:r>
          </w:p>
          <w:p w14:paraId="0FEE8979" w14:textId="56EBA41E" w:rsidR="00F02977" w:rsidRPr="00924775" w:rsidRDefault="00F02977" w:rsidP="00924775">
            <w:pPr>
              <w:pStyle w:val="ListParagraph"/>
              <w:numPr>
                <w:ilvl w:val="0"/>
                <w:numId w:val="22"/>
              </w:numPr>
              <w:spacing w:line="240" w:lineRule="auto"/>
              <w:rPr>
                <w:rFonts w:eastAsia="Times New Roman" w:cstheme="minorHAnsi"/>
                <w:iCs/>
                <w:color w:val="000000"/>
                <w:sz w:val="22"/>
                <w:szCs w:val="20"/>
                <w:lang w:eastAsia="en-GB"/>
              </w:rPr>
            </w:pPr>
            <w:r w:rsidRPr="00924775">
              <w:rPr>
                <w:rFonts w:eastAsia="Times New Roman" w:cstheme="minorHAnsi"/>
                <w:iCs/>
                <w:color w:val="000000"/>
                <w:sz w:val="22"/>
                <w:szCs w:val="20"/>
                <w:lang w:eastAsia="en-GB"/>
              </w:rPr>
              <w:t xml:space="preserve">Conduct required baseline investigations and initial monitoring (see </w:t>
            </w:r>
            <w:hyperlink w:anchor="Seven_specialist_monitoring" w:history="1">
              <w:r w:rsidRPr="00F83C4F">
                <w:rPr>
                  <w:rStyle w:val="Hyperlink"/>
                  <w:rFonts w:eastAsia="Times New Roman" w:cstheme="minorHAnsi"/>
                  <w:iCs/>
                  <w:sz w:val="22"/>
                  <w:szCs w:val="20"/>
                  <w:lang w:eastAsia="en-GB"/>
                </w:rPr>
                <w:t xml:space="preserve">section </w:t>
              </w:r>
              <w:r w:rsidR="00F83C4F" w:rsidRPr="00F83C4F">
                <w:rPr>
                  <w:rStyle w:val="Hyperlink"/>
                  <w:rFonts w:eastAsia="Times New Roman" w:cstheme="minorHAnsi"/>
                  <w:iCs/>
                  <w:sz w:val="22"/>
                  <w:szCs w:val="20"/>
                  <w:lang w:eastAsia="en-GB"/>
                </w:rPr>
                <w:t>7</w:t>
              </w:r>
            </w:hyperlink>
            <w:r w:rsidRPr="00924775">
              <w:rPr>
                <w:rFonts w:eastAsia="Times New Roman" w:cstheme="minorHAnsi"/>
                <w:iCs/>
                <w:color w:val="000000"/>
                <w:sz w:val="22"/>
                <w:szCs w:val="20"/>
                <w:lang w:eastAsia="en-GB"/>
              </w:rPr>
              <w:t>).</w:t>
            </w:r>
          </w:p>
          <w:p w14:paraId="593845F0" w14:textId="623275B7" w:rsidR="00F02977" w:rsidRPr="00924775" w:rsidRDefault="008D5964" w:rsidP="00924775">
            <w:pPr>
              <w:pStyle w:val="ListParagraph"/>
              <w:numPr>
                <w:ilvl w:val="0"/>
                <w:numId w:val="22"/>
              </w:numPr>
              <w:spacing w:after="200" w:line="240" w:lineRule="auto"/>
              <w:contextualSpacing/>
              <w:rPr>
                <w:rFonts w:eastAsia="Times New Roman" w:cstheme="minorHAnsi"/>
                <w:iCs/>
                <w:color w:val="000000"/>
                <w:sz w:val="22"/>
                <w:szCs w:val="20"/>
                <w:lang w:eastAsia="en-GB"/>
              </w:rPr>
            </w:pPr>
            <w:r w:rsidRPr="00924775">
              <w:rPr>
                <w:rFonts w:eastAsia="Times New Roman" w:cstheme="minorHAnsi"/>
                <w:iCs/>
                <w:color w:val="000000"/>
                <w:sz w:val="22"/>
                <w:szCs w:val="20"/>
                <w:lang w:eastAsia="en-GB"/>
              </w:rPr>
              <w:t xml:space="preserve">Initiate and optimise treatment as outlined in </w:t>
            </w:r>
            <w:hyperlink w:anchor="Four_dosing" w:history="1">
              <w:r w:rsidRPr="00F83C4F">
                <w:rPr>
                  <w:rStyle w:val="Hyperlink"/>
                  <w:rFonts w:eastAsia="Times New Roman" w:cstheme="minorHAnsi"/>
                  <w:iCs/>
                  <w:sz w:val="22"/>
                  <w:szCs w:val="20"/>
                  <w:lang w:eastAsia="en-GB"/>
                </w:rPr>
                <w:t xml:space="preserve">section </w:t>
              </w:r>
              <w:r w:rsidR="00F83C4F" w:rsidRPr="00F83C4F">
                <w:rPr>
                  <w:rStyle w:val="Hyperlink"/>
                  <w:rFonts w:eastAsia="Times New Roman" w:cstheme="minorHAnsi"/>
                  <w:iCs/>
                  <w:sz w:val="22"/>
                  <w:szCs w:val="20"/>
                  <w:lang w:eastAsia="en-GB"/>
                </w:rPr>
                <w:t>4</w:t>
              </w:r>
            </w:hyperlink>
            <w:r w:rsidRPr="00924775">
              <w:rPr>
                <w:rFonts w:eastAsia="Times New Roman" w:cstheme="minorHAnsi"/>
                <w:iCs/>
                <w:color w:val="000000"/>
                <w:sz w:val="22"/>
                <w:szCs w:val="20"/>
                <w:lang w:eastAsia="en-GB"/>
              </w:rPr>
              <w:t xml:space="preserve">. </w:t>
            </w:r>
          </w:p>
          <w:p w14:paraId="3C22450B" w14:textId="0BBE478B" w:rsidR="008D5964" w:rsidRPr="00924775" w:rsidRDefault="008D5964" w:rsidP="00924775">
            <w:pPr>
              <w:pStyle w:val="ListParagraph"/>
              <w:numPr>
                <w:ilvl w:val="0"/>
                <w:numId w:val="22"/>
              </w:numPr>
              <w:spacing w:after="200" w:line="240" w:lineRule="auto"/>
              <w:contextualSpacing/>
              <w:rPr>
                <w:rFonts w:eastAsia="Times New Roman" w:cstheme="minorHAnsi"/>
                <w:iCs/>
                <w:color w:val="000000"/>
                <w:sz w:val="22"/>
                <w:szCs w:val="20"/>
                <w:lang w:eastAsia="en-GB"/>
              </w:rPr>
            </w:pPr>
            <w:r w:rsidRPr="00924775">
              <w:rPr>
                <w:rFonts w:eastAsia="Times New Roman" w:cstheme="minorHAnsi"/>
                <w:iCs/>
                <w:color w:val="000000"/>
                <w:sz w:val="22"/>
                <w:szCs w:val="20"/>
                <w:lang w:eastAsia="en-GB"/>
              </w:rPr>
              <w:t>Transfer to primary care is normally after the patient has been treated for 3 months and</w:t>
            </w:r>
            <w:r w:rsidR="00716B7A">
              <w:rPr>
                <w:rFonts w:eastAsia="Times New Roman" w:cstheme="minorHAnsi"/>
                <w:iCs/>
                <w:color w:val="000000"/>
                <w:sz w:val="22"/>
                <w:szCs w:val="20"/>
                <w:lang w:eastAsia="en-GB"/>
              </w:rPr>
              <w:t xml:space="preserve"> stabilised</w:t>
            </w:r>
            <w:r w:rsidRPr="00924775">
              <w:rPr>
                <w:rFonts w:eastAsia="Times New Roman" w:cstheme="minorHAnsi"/>
                <w:iCs/>
                <w:color w:val="000000"/>
                <w:sz w:val="22"/>
                <w:szCs w:val="20"/>
                <w:lang w:eastAsia="en-GB"/>
              </w:rPr>
              <w:t xml:space="preserve"> </w:t>
            </w:r>
            <w:r w:rsidR="00321907">
              <w:rPr>
                <w:rFonts w:eastAsia="Times New Roman" w:cstheme="minorHAnsi"/>
                <w:iCs/>
                <w:color w:val="000000"/>
                <w:sz w:val="22"/>
                <w:szCs w:val="20"/>
                <w:lang w:eastAsia="en-GB"/>
              </w:rPr>
              <w:t xml:space="preserve">on treatment, </w:t>
            </w:r>
            <w:r w:rsidRPr="00924775">
              <w:rPr>
                <w:rFonts w:eastAsia="Times New Roman" w:cstheme="minorHAnsi"/>
                <w:iCs/>
                <w:color w:val="000000"/>
                <w:sz w:val="22"/>
                <w:szCs w:val="20"/>
                <w:lang w:eastAsia="en-GB"/>
              </w:rPr>
              <w:t>with satisfactory investigation results for at least 4 weeks.</w:t>
            </w:r>
            <w:r w:rsidR="00F02977" w:rsidRPr="00924775">
              <w:rPr>
                <w:rFonts w:eastAsia="Times New Roman" w:cstheme="minorHAnsi"/>
                <w:iCs/>
                <w:color w:val="000000"/>
                <w:sz w:val="22"/>
                <w:szCs w:val="20"/>
                <w:lang w:eastAsia="en-GB"/>
              </w:rPr>
              <w:t xml:space="preserve"> </w:t>
            </w:r>
          </w:p>
          <w:p w14:paraId="09BF7EEE" w14:textId="60E70E29" w:rsidR="008D5964" w:rsidRPr="00924775" w:rsidRDefault="008D5964" w:rsidP="00924775">
            <w:pPr>
              <w:pStyle w:val="ListParagraph"/>
              <w:numPr>
                <w:ilvl w:val="0"/>
                <w:numId w:val="22"/>
              </w:numPr>
              <w:spacing w:before="60" w:after="60" w:line="240" w:lineRule="auto"/>
              <w:contextualSpacing/>
              <w:rPr>
                <w:rFonts w:eastAsia="Times New Roman" w:cstheme="minorHAnsi"/>
                <w:iCs/>
                <w:color w:val="000000"/>
                <w:sz w:val="22"/>
                <w:szCs w:val="20"/>
                <w:lang w:eastAsia="en-GB"/>
              </w:rPr>
            </w:pPr>
            <w:r w:rsidRPr="00924775">
              <w:rPr>
                <w:rFonts w:eastAsia="Times New Roman" w:cstheme="minorHAnsi"/>
                <w:iCs/>
                <w:color w:val="000000"/>
                <w:sz w:val="22"/>
                <w:szCs w:val="20"/>
                <w:lang w:eastAsia="en-GB"/>
              </w:rPr>
              <w:t xml:space="preserve">Once treatment is optimised, </w:t>
            </w:r>
            <w:r w:rsidR="00F02977" w:rsidRPr="00924775">
              <w:rPr>
                <w:rFonts w:eastAsia="Times New Roman" w:cstheme="minorHAnsi"/>
                <w:iCs/>
                <w:color w:val="000000"/>
                <w:sz w:val="22"/>
                <w:szCs w:val="20"/>
                <w:lang w:eastAsia="en-GB"/>
              </w:rPr>
              <w:t xml:space="preserve">contact the </w:t>
            </w:r>
            <w:r w:rsidRPr="00924775">
              <w:rPr>
                <w:rFonts w:eastAsia="Times New Roman" w:cstheme="minorHAnsi"/>
                <w:iCs/>
                <w:color w:val="000000"/>
                <w:sz w:val="22"/>
                <w:szCs w:val="20"/>
                <w:lang w:eastAsia="en-GB"/>
              </w:rPr>
              <w:t>patient’s GP practice</w:t>
            </w:r>
            <w:r w:rsidR="00BF0C79" w:rsidRPr="00924775">
              <w:rPr>
                <w:rFonts w:eastAsia="Times New Roman" w:cstheme="minorHAnsi"/>
                <w:iCs/>
                <w:color w:val="000000"/>
                <w:sz w:val="22"/>
                <w:szCs w:val="20"/>
                <w:lang w:eastAsia="en-GB"/>
              </w:rPr>
              <w:t xml:space="preserve"> to initiate shared care,</w:t>
            </w:r>
            <w:r w:rsidRPr="00924775">
              <w:rPr>
                <w:rFonts w:eastAsia="Times New Roman" w:cstheme="minorHAnsi"/>
                <w:iCs/>
                <w:color w:val="000000"/>
                <w:sz w:val="22"/>
                <w:szCs w:val="20"/>
                <w:lang w:eastAsia="en-GB"/>
              </w:rPr>
              <w:t xml:space="preserve"> detailing the diagnosis, current and ongoing dose of </w:t>
            </w:r>
            <w:r w:rsidR="00F60E04" w:rsidRPr="00924775">
              <w:rPr>
                <w:rFonts w:eastAsia="Times New Roman" w:cstheme="minorHAnsi"/>
                <w:iCs/>
                <w:color w:val="FF0000"/>
                <w:sz w:val="22"/>
                <w:szCs w:val="20"/>
                <w:lang w:eastAsia="en-GB"/>
              </w:rPr>
              <w:t>enter details of medication</w:t>
            </w:r>
            <w:r w:rsidRPr="00924775">
              <w:rPr>
                <w:rFonts w:eastAsia="Times New Roman" w:cstheme="minorHAnsi"/>
                <w:iCs/>
                <w:color w:val="000000"/>
                <w:sz w:val="22"/>
                <w:szCs w:val="20"/>
                <w:lang w:eastAsia="en-GB"/>
              </w:rPr>
              <w:t>, any relevant test results, and when the next monitoring is required. Include contact information (</w:t>
            </w:r>
            <w:hyperlink w:anchor="Twelve_specialist_contact" w:history="1">
              <w:r w:rsidRPr="00F83C4F">
                <w:rPr>
                  <w:rStyle w:val="Hyperlink"/>
                  <w:rFonts w:eastAsia="Times New Roman" w:cstheme="minorHAnsi"/>
                  <w:iCs/>
                  <w:sz w:val="22"/>
                  <w:szCs w:val="20"/>
                  <w:lang w:eastAsia="en-GB"/>
                </w:rPr>
                <w:t>section 1</w:t>
              </w:r>
              <w:r w:rsidR="00F83C4F" w:rsidRPr="00F83C4F">
                <w:rPr>
                  <w:rStyle w:val="Hyperlink"/>
                  <w:rFonts w:eastAsia="Times New Roman" w:cstheme="minorHAnsi"/>
                  <w:iCs/>
                  <w:sz w:val="22"/>
                  <w:szCs w:val="20"/>
                  <w:lang w:eastAsia="en-GB"/>
                </w:rPr>
                <w:t>2</w:t>
              </w:r>
            </w:hyperlink>
            <w:r w:rsidRPr="00924775">
              <w:rPr>
                <w:rFonts w:eastAsia="Times New Roman" w:cstheme="minorHAnsi"/>
                <w:iCs/>
                <w:color w:val="000000"/>
                <w:sz w:val="22"/>
                <w:szCs w:val="20"/>
                <w:lang w:eastAsia="en-GB"/>
              </w:rPr>
              <w:t>).</w:t>
            </w:r>
          </w:p>
          <w:p w14:paraId="12753253" w14:textId="43AC9740"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szCs w:val="20"/>
                <w:lang w:eastAsia="en-GB"/>
              </w:rPr>
            </w:pPr>
            <w:r w:rsidRPr="00924775">
              <w:rPr>
                <w:rFonts w:eastAsia="Times New Roman" w:cstheme="minorHAnsi"/>
                <w:iCs/>
                <w:color w:val="000000"/>
                <w:sz w:val="22"/>
                <w:szCs w:val="20"/>
                <w:lang w:eastAsia="en-GB"/>
              </w:rPr>
              <w:t>Prescribe sufficient medication to enable transfer to primary care</w:t>
            </w:r>
            <w:r w:rsidR="00716B7A">
              <w:rPr>
                <w:rFonts w:eastAsia="Times New Roman" w:cstheme="minorHAnsi"/>
                <w:iCs/>
                <w:color w:val="000000"/>
                <w:sz w:val="22"/>
                <w:szCs w:val="20"/>
                <w:lang w:eastAsia="en-GB"/>
              </w:rPr>
              <w:t xml:space="preserve"> (minimum 28 days’ supply)</w:t>
            </w:r>
            <w:r w:rsidRPr="00924775">
              <w:rPr>
                <w:rFonts w:eastAsia="Times New Roman" w:cstheme="minorHAnsi"/>
                <w:iCs/>
                <w:color w:val="000000"/>
                <w:sz w:val="22"/>
                <w:szCs w:val="20"/>
                <w:lang w:eastAsia="en-GB"/>
              </w:rPr>
              <w:t>, including where there are unforeseen delays to transfer of care.</w:t>
            </w:r>
          </w:p>
          <w:p w14:paraId="35186708" w14:textId="1DE5E322"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Conduct the required monitoring in </w:t>
            </w:r>
            <w:hyperlink w:anchor="Seven_specialist_monitoring" w:history="1">
              <w:r w:rsidRPr="00F83C4F">
                <w:rPr>
                  <w:rStyle w:val="Hyperlink"/>
                  <w:rFonts w:eastAsia="Times New Roman" w:cstheme="minorHAnsi"/>
                  <w:iCs/>
                  <w:sz w:val="22"/>
                  <w:lang w:eastAsia="en-GB"/>
                </w:rPr>
                <w:t xml:space="preserve">section </w:t>
              </w:r>
              <w:r w:rsidR="00F83C4F" w:rsidRPr="00F83C4F">
                <w:rPr>
                  <w:rStyle w:val="Hyperlink"/>
                  <w:rFonts w:eastAsia="Times New Roman" w:cstheme="minorHAnsi"/>
                  <w:iCs/>
                  <w:sz w:val="22"/>
                  <w:lang w:eastAsia="en-GB"/>
                </w:rPr>
                <w:t>7</w:t>
              </w:r>
            </w:hyperlink>
            <w:r w:rsidRPr="00924775">
              <w:rPr>
                <w:rStyle w:val="Hyperlink"/>
                <w:rFonts w:eastAsia="Times New Roman" w:cstheme="minorHAnsi"/>
                <w:iCs/>
                <w:color w:val="0000FF"/>
                <w:sz w:val="22"/>
                <w:u w:val="none"/>
                <w:lang w:eastAsia="en-GB"/>
              </w:rPr>
              <w:t xml:space="preserve"> </w:t>
            </w:r>
            <w:r w:rsidRPr="00924775">
              <w:rPr>
                <w:rStyle w:val="Hyperlink"/>
                <w:rFonts w:eastAsia="Times New Roman" w:cstheme="minorHAnsi"/>
                <w:iCs/>
                <w:color w:val="000000"/>
                <w:sz w:val="22"/>
                <w:u w:val="none"/>
                <w:lang w:eastAsia="en-GB"/>
              </w:rPr>
              <w:t xml:space="preserve">and communicate the results to primary care. After each review, advise primary care whether treatment should be continued, confirm the ongoing dose, and whether the ongoing monitoring outlined in </w:t>
            </w:r>
            <w:hyperlink w:anchor="Eight_primary_care_monitoring" w:history="1">
              <w:r w:rsidRPr="0062294F">
                <w:rPr>
                  <w:rStyle w:val="Hyperlink"/>
                  <w:rFonts w:eastAsia="Times New Roman" w:cstheme="minorHAnsi"/>
                  <w:iCs/>
                  <w:sz w:val="22"/>
                  <w:u w:val="none"/>
                  <w:lang w:eastAsia="en-GB"/>
                </w:rPr>
                <w:t xml:space="preserve">section </w:t>
              </w:r>
              <w:r w:rsidR="00F83C4F" w:rsidRPr="0062294F">
                <w:rPr>
                  <w:rStyle w:val="Hyperlink"/>
                  <w:rFonts w:eastAsia="Times New Roman" w:cstheme="minorHAnsi"/>
                  <w:iCs/>
                  <w:sz w:val="22"/>
                  <w:u w:val="none"/>
                  <w:lang w:eastAsia="en-GB"/>
                </w:rPr>
                <w:t>8</w:t>
              </w:r>
            </w:hyperlink>
            <w:r w:rsidRPr="00924775">
              <w:rPr>
                <w:rStyle w:val="Hyperlink"/>
                <w:rFonts w:eastAsia="Times New Roman" w:cstheme="minorHAnsi"/>
                <w:iCs/>
                <w:color w:val="000000"/>
                <w:sz w:val="22"/>
                <w:u w:val="none"/>
                <w:lang w:eastAsia="en-GB"/>
              </w:rPr>
              <w:t xml:space="preserve"> remains appropriate</w:t>
            </w:r>
            <w:r w:rsidRPr="00924775">
              <w:rPr>
                <w:rFonts w:eastAsia="Times New Roman" w:cstheme="minorHAnsi"/>
                <w:iCs/>
                <w:color w:val="000000"/>
                <w:sz w:val="22"/>
                <w:lang w:eastAsia="en-GB"/>
              </w:rPr>
              <w:t xml:space="preserve">. </w:t>
            </w:r>
          </w:p>
          <w:p w14:paraId="04355F53" w14:textId="7DD9EB40"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Review treatment and reassume prescribing responsibility if a patient becomes or wishes to become pregnant.</w:t>
            </w:r>
            <w:r w:rsidR="00F60E04" w:rsidRPr="00924775">
              <w:rPr>
                <w:rFonts w:eastAsia="Times New Roman" w:cstheme="minorHAnsi"/>
                <w:iCs/>
                <w:color w:val="000000"/>
                <w:sz w:val="22"/>
                <w:lang w:eastAsia="en-GB"/>
              </w:rPr>
              <w:t xml:space="preserve"> </w:t>
            </w:r>
            <w:r w:rsidR="00F60E04" w:rsidRPr="00924775">
              <w:rPr>
                <w:rFonts w:eastAsia="Times New Roman" w:cstheme="minorHAnsi"/>
                <w:i/>
                <w:color w:val="FF0000"/>
                <w:sz w:val="22"/>
                <w:lang w:eastAsia="en-GB"/>
              </w:rPr>
              <w:t>(delete if not applicable)</w:t>
            </w:r>
          </w:p>
          <w:p w14:paraId="05B249AF" w14:textId="0E969639"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lastRenderedPageBreak/>
              <w:t>Provide advice to primary care on the management of adverse effects if required</w:t>
            </w:r>
          </w:p>
          <w:bookmarkEnd w:id="0"/>
          <w:p w14:paraId="777ACBA6" w14:textId="5A724922" w:rsidR="00055685" w:rsidRDefault="00055685" w:rsidP="007C7494">
            <w:pPr>
              <w:pStyle w:val="Heading2"/>
              <w:rPr>
                <w:lang w:eastAsia="en-GB"/>
              </w:rPr>
            </w:pPr>
            <w:r w:rsidRPr="002D255E">
              <w:rPr>
                <w:lang w:eastAsia="en-GB"/>
              </w:rPr>
              <w:t>Primary care responsibilities</w:t>
            </w:r>
          </w:p>
          <w:p w14:paraId="71348B02" w14:textId="7B0A24A7" w:rsidR="005E5C79" w:rsidRPr="005E5C79" w:rsidRDefault="005E5C79" w:rsidP="005E5C79">
            <w:pPr>
              <w:spacing w:after="120" w:line="240" w:lineRule="auto"/>
              <w:rPr>
                <w:rFonts w:cs="Arial"/>
                <w:i/>
                <w:color w:val="FF0000"/>
                <w:sz w:val="20"/>
              </w:rPr>
            </w:pPr>
            <w:r w:rsidRPr="00E22917">
              <w:rPr>
                <w:rFonts w:cs="Arial"/>
                <w:i/>
                <w:color w:val="FF0000"/>
                <w:sz w:val="20"/>
              </w:rPr>
              <w:t>(Add in any other roles and responsibilities specific to the medicine in this shared care guideline, e.g. monitoring arrangements, when and how to refer back to the Specialist, etc.)</w:t>
            </w:r>
          </w:p>
          <w:p w14:paraId="5494CB1C" w14:textId="0510F02F" w:rsidR="00F60E04" w:rsidRPr="00924775" w:rsidRDefault="00F60E04" w:rsidP="00F60E04">
            <w:pPr>
              <w:pStyle w:val="ListParagraph"/>
              <w:numPr>
                <w:ilvl w:val="0"/>
                <w:numId w:val="22"/>
              </w:numPr>
              <w:spacing w:before="60" w:after="60" w:line="240" w:lineRule="auto"/>
              <w:ind w:left="357" w:hanging="357"/>
              <w:contextualSpacing/>
              <w:rPr>
                <w:rFonts w:eastAsia="Times New Roman" w:cstheme="minorHAnsi"/>
                <w:iCs/>
                <w:color w:val="000000"/>
                <w:sz w:val="22"/>
                <w:lang w:eastAsia="en-GB"/>
              </w:rPr>
            </w:pPr>
            <w:r w:rsidRPr="00924775">
              <w:rPr>
                <w:rFonts w:eastAsia="Times New Roman" w:cstheme="minorHAnsi"/>
                <w:iCs/>
                <w:color w:val="000000"/>
                <w:sz w:val="22"/>
                <w:lang w:val="en-AU" w:eastAsia="en-GB"/>
              </w:rPr>
              <w:t>To confirm that the patient or carer consents to sharing of care between the specialist, primary care prescriber and patient.</w:t>
            </w:r>
          </w:p>
          <w:p w14:paraId="6E74EECD" w14:textId="02553F7E" w:rsidR="00F60E04" w:rsidRPr="00924775" w:rsidRDefault="00F60E04" w:rsidP="00F60E04">
            <w:pPr>
              <w:pStyle w:val="ListParagraph"/>
              <w:numPr>
                <w:ilvl w:val="0"/>
                <w:numId w:val="22"/>
              </w:numPr>
              <w:spacing w:after="0" w:line="240" w:lineRule="auto"/>
              <w:ind w:left="357" w:hanging="357"/>
              <w:rPr>
                <w:rFonts w:eastAsia="Times New Roman" w:cstheme="minorHAnsi"/>
                <w:iCs/>
                <w:color w:val="000000"/>
                <w:sz w:val="22"/>
                <w:lang w:eastAsia="en-GB"/>
              </w:rPr>
            </w:pPr>
            <w:r w:rsidRPr="00924775">
              <w:rPr>
                <w:rFonts w:eastAsia="Times New Roman" w:cstheme="minorHAnsi"/>
                <w:iCs/>
                <w:color w:val="000000"/>
                <w:sz w:val="22"/>
                <w:lang w:eastAsia="en-GB"/>
              </w:rPr>
              <w:t xml:space="preserve">If shared care is </w:t>
            </w:r>
            <w:r w:rsidRPr="00924775">
              <w:rPr>
                <w:rFonts w:eastAsia="Times New Roman" w:cstheme="minorHAnsi"/>
                <w:b/>
                <w:bCs/>
                <w:iCs/>
                <w:color w:val="000000"/>
                <w:sz w:val="22"/>
                <w:lang w:eastAsia="en-GB"/>
              </w:rPr>
              <w:t>accepted</w:t>
            </w:r>
            <w:r w:rsidRPr="00924775">
              <w:rPr>
                <w:rFonts w:eastAsia="Times New Roman" w:cstheme="minorHAnsi"/>
                <w:iCs/>
                <w:color w:val="000000"/>
                <w:sz w:val="22"/>
                <w:lang w:eastAsia="en-GB"/>
              </w:rPr>
              <w:t>, commencement of shared care must be clearly documented in the patient’s primary care medical notes. The requirement for the primary care prescriber to send confirmation in writing via letter or approved electronic communication to the specialist team for acceptance of shared care is NOT mandated.</w:t>
            </w:r>
          </w:p>
          <w:p w14:paraId="16FA2948" w14:textId="26062C01" w:rsidR="00F60E04" w:rsidRPr="00924775" w:rsidRDefault="00F60E04" w:rsidP="00F60E0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If </w:t>
            </w:r>
            <w:r w:rsidRPr="00924775">
              <w:rPr>
                <w:rFonts w:eastAsia="Times New Roman" w:cstheme="minorHAnsi"/>
                <w:b/>
                <w:bCs/>
                <w:iCs/>
                <w:color w:val="000000"/>
                <w:sz w:val="22"/>
                <w:lang w:eastAsia="en-GB"/>
              </w:rPr>
              <w:t>declining</w:t>
            </w:r>
            <w:r w:rsidRPr="00924775">
              <w:rPr>
                <w:rFonts w:eastAsia="Times New Roman" w:cstheme="minorHAnsi"/>
                <w:iCs/>
                <w:color w:val="000000"/>
                <w:sz w:val="22"/>
                <w:lang w:eastAsia="en-GB"/>
              </w:rPr>
              <w:t xml:space="preserve"> the request for shared care, the decision and rationale should be explained to the </w:t>
            </w:r>
            <w:r w:rsidR="0062294F">
              <w:rPr>
                <w:rFonts w:eastAsia="Times New Roman" w:cstheme="minorHAnsi"/>
                <w:iCs/>
                <w:color w:val="000000"/>
                <w:sz w:val="22"/>
                <w:lang w:eastAsia="en-GB"/>
              </w:rPr>
              <w:t>s</w:t>
            </w:r>
            <w:r w:rsidRPr="00924775">
              <w:rPr>
                <w:rFonts w:eastAsia="Times New Roman" w:cstheme="minorHAnsi"/>
                <w:iCs/>
                <w:color w:val="000000"/>
                <w:sz w:val="22"/>
                <w:lang w:eastAsia="en-GB"/>
              </w:rPr>
              <w:t>pecialist in writing as soon as is possible and in a timely manner, within a maximum of 14 to 21</w:t>
            </w:r>
            <w:r w:rsidR="001E7A3C">
              <w:rPr>
                <w:rFonts w:eastAsia="Times New Roman" w:cstheme="minorHAnsi"/>
                <w:iCs/>
                <w:color w:val="000000"/>
                <w:sz w:val="22"/>
                <w:lang w:eastAsia="en-GB"/>
              </w:rPr>
              <w:t xml:space="preserve"> calendar</w:t>
            </w:r>
            <w:r w:rsidRPr="00924775">
              <w:rPr>
                <w:rFonts w:eastAsia="Times New Roman" w:cstheme="minorHAnsi"/>
                <w:iCs/>
                <w:color w:val="000000"/>
                <w:sz w:val="22"/>
                <w:lang w:eastAsia="en-GB"/>
              </w:rPr>
              <w:t xml:space="preserve"> days upon receipt of request. The patient should also be informed of the decision. See Appendix 1 of the </w:t>
            </w:r>
            <w:hyperlink r:id="rId19" w:history="1">
              <w:r w:rsidRPr="003504BF">
                <w:rPr>
                  <w:rStyle w:val="Hyperlink"/>
                  <w:rFonts w:eastAsia="Times New Roman" w:cstheme="minorHAnsi"/>
                  <w:iCs/>
                  <w:sz w:val="22"/>
                  <w:lang w:eastAsia="en-GB"/>
                </w:rPr>
                <w:t>BLMK Shared Care Principles</w:t>
              </w:r>
            </w:hyperlink>
            <w:r w:rsidRPr="00924775">
              <w:rPr>
                <w:rFonts w:eastAsia="Times New Roman" w:cstheme="minorHAnsi"/>
                <w:iCs/>
                <w:color w:val="000000"/>
                <w:sz w:val="22"/>
                <w:lang w:eastAsia="en-GB"/>
              </w:rPr>
              <w:t xml:space="preserve"> for supporting information.</w:t>
            </w:r>
          </w:p>
          <w:p w14:paraId="3365C5F3" w14:textId="6E1924CD"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If accepted, prescribe </w:t>
            </w:r>
            <w:r w:rsidR="00F60E04" w:rsidRPr="00924775">
              <w:rPr>
                <w:rFonts w:eastAsia="Times New Roman" w:cstheme="minorHAnsi"/>
                <w:iCs/>
                <w:color w:val="000000"/>
                <w:sz w:val="22"/>
                <w:lang w:eastAsia="en-GB"/>
              </w:rPr>
              <w:t>the maintenance therapy</w:t>
            </w:r>
            <w:r w:rsidRPr="00924775">
              <w:rPr>
                <w:rFonts w:eastAsia="Times New Roman" w:cstheme="minorHAnsi"/>
                <w:iCs/>
                <w:color w:val="000000"/>
                <w:sz w:val="22"/>
                <w:lang w:eastAsia="en-GB"/>
              </w:rPr>
              <w:t xml:space="preserve"> as detailed in the specialist</w:t>
            </w:r>
            <w:r w:rsidR="00135825">
              <w:rPr>
                <w:rFonts w:eastAsia="Times New Roman" w:cstheme="minorHAnsi"/>
                <w:iCs/>
                <w:color w:val="000000"/>
                <w:sz w:val="22"/>
                <w:lang w:eastAsia="en-GB"/>
              </w:rPr>
              <w:t>’</w:t>
            </w:r>
            <w:r w:rsidRPr="00924775">
              <w:rPr>
                <w:rFonts w:eastAsia="Times New Roman" w:cstheme="minorHAnsi"/>
                <w:iCs/>
                <w:color w:val="000000"/>
                <w:sz w:val="22"/>
                <w:lang w:eastAsia="en-GB"/>
              </w:rPr>
              <w:t xml:space="preserve">s request and as per </w:t>
            </w:r>
            <w:hyperlink w:anchor="Four_dosing" w:history="1">
              <w:r w:rsidRPr="00F83C4F">
                <w:rPr>
                  <w:rStyle w:val="Hyperlink"/>
                  <w:rFonts w:eastAsia="Times New Roman" w:cstheme="minorHAnsi"/>
                  <w:iCs/>
                  <w:sz w:val="22"/>
                  <w:lang w:eastAsia="en-GB"/>
                </w:rPr>
                <w:t xml:space="preserve">section </w:t>
              </w:r>
              <w:r w:rsidR="00F83C4F" w:rsidRPr="00F83C4F">
                <w:rPr>
                  <w:rStyle w:val="Hyperlink"/>
                  <w:rFonts w:eastAsia="Times New Roman" w:cstheme="minorHAnsi"/>
                  <w:iCs/>
                  <w:sz w:val="22"/>
                  <w:lang w:eastAsia="en-GB"/>
                </w:rPr>
                <w:t>4</w:t>
              </w:r>
            </w:hyperlink>
            <w:r w:rsidRPr="00924775">
              <w:rPr>
                <w:rFonts w:eastAsia="Times New Roman" w:cstheme="minorHAnsi"/>
                <w:iCs/>
                <w:color w:val="000000"/>
                <w:sz w:val="22"/>
                <w:lang w:eastAsia="en-GB"/>
              </w:rPr>
              <w:t xml:space="preserve">, taking into any account potential drug interactions in </w:t>
            </w:r>
            <w:hyperlink w:anchor="Six_interactions" w:history="1">
              <w:r w:rsidRPr="00F83C4F">
                <w:rPr>
                  <w:rStyle w:val="Hyperlink"/>
                  <w:rFonts w:eastAsia="Times New Roman" w:cstheme="minorHAnsi"/>
                  <w:iCs/>
                  <w:sz w:val="22"/>
                  <w:lang w:eastAsia="en-GB"/>
                </w:rPr>
                <w:t xml:space="preserve">section </w:t>
              </w:r>
              <w:r w:rsidR="00F83C4F" w:rsidRPr="00F83C4F">
                <w:rPr>
                  <w:rStyle w:val="Hyperlink"/>
                  <w:rFonts w:eastAsia="Times New Roman" w:cstheme="minorHAnsi"/>
                  <w:iCs/>
                  <w:sz w:val="22"/>
                  <w:lang w:eastAsia="en-GB"/>
                </w:rPr>
                <w:t>6</w:t>
              </w:r>
            </w:hyperlink>
            <w:r w:rsidRPr="00924775">
              <w:rPr>
                <w:rFonts w:eastAsia="Times New Roman" w:cstheme="minorHAnsi"/>
                <w:iCs/>
                <w:color w:val="000000"/>
                <w:sz w:val="22"/>
                <w:lang w:eastAsia="en-GB"/>
              </w:rPr>
              <w:t>.</w:t>
            </w:r>
          </w:p>
          <w:p w14:paraId="6267D231" w14:textId="7CB347A1"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Adjust the dose of </w:t>
            </w:r>
            <w:r w:rsidR="00F60E04" w:rsidRPr="00924775">
              <w:rPr>
                <w:rFonts w:eastAsia="Times New Roman" w:cstheme="minorHAnsi"/>
                <w:iCs/>
                <w:color w:val="FF0000"/>
                <w:sz w:val="22"/>
                <w:lang w:eastAsia="en-GB"/>
              </w:rPr>
              <w:t>medication (enter medicine name)</w:t>
            </w:r>
            <w:r w:rsidRPr="00924775">
              <w:rPr>
                <w:rFonts w:eastAsia="Times New Roman" w:cstheme="minorHAnsi"/>
                <w:iCs/>
                <w:color w:val="FF0000"/>
                <w:sz w:val="22"/>
                <w:lang w:eastAsia="en-GB"/>
              </w:rPr>
              <w:t xml:space="preserve"> </w:t>
            </w:r>
            <w:r w:rsidRPr="00924775">
              <w:rPr>
                <w:rFonts w:eastAsia="Times New Roman" w:cstheme="minorHAnsi"/>
                <w:iCs/>
                <w:color w:val="000000"/>
                <w:sz w:val="22"/>
                <w:lang w:eastAsia="en-GB"/>
              </w:rPr>
              <w:t>prescribed as advised by the specialist.</w:t>
            </w:r>
          </w:p>
          <w:p w14:paraId="43F7969D" w14:textId="0B031325"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Conduct the required monitoring as outlined in </w:t>
            </w:r>
            <w:hyperlink w:anchor="Eight_primary_care_monitoring" w:history="1">
              <w:r w:rsidRPr="00F83C4F">
                <w:rPr>
                  <w:rStyle w:val="Hyperlink"/>
                  <w:rFonts w:eastAsia="Times New Roman" w:cstheme="minorHAnsi"/>
                  <w:iCs/>
                  <w:sz w:val="22"/>
                  <w:lang w:eastAsia="en-GB"/>
                </w:rPr>
                <w:t xml:space="preserve">section </w:t>
              </w:r>
              <w:r w:rsidR="00F83C4F" w:rsidRPr="00F83C4F">
                <w:rPr>
                  <w:rStyle w:val="Hyperlink"/>
                  <w:rFonts w:eastAsia="Times New Roman" w:cstheme="minorHAnsi"/>
                  <w:iCs/>
                  <w:sz w:val="22"/>
                  <w:lang w:eastAsia="en-GB"/>
                </w:rPr>
                <w:t>8</w:t>
              </w:r>
            </w:hyperlink>
            <w:r w:rsidRPr="00924775">
              <w:rPr>
                <w:rFonts w:eastAsia="Times New Roman" w:cstheme="minorHAnsi"/>
                <w:iCs/>
                <w:color w:val="000000"/>
                <w:sz w:val="22"/>
                <w:lang w:eastAsia="en-GB"/>
              </w:rPr>
              <w:t>.</w:t>
            </w:r>
            <w:r w:rsidRPr="00924775">
              <w:rPr>
                <w:color w:val="000000"/>
                <w:sz w:val="22"/>
              </w:rPr>
              <w:t xml:space="preserve"> </w:t>
            </w:r>
            <w:r w:rsidRPr="00924775">
              <w:rPr>
                <w:rFonts w:eastAsia="Times New Roman" w:cstheme="minorHAnsi"/>
                <w:iCs/>
                <w:color w:val="000000"/>
                <w:sz w:val="22"/>
                <w:lang w:eastAsia="en-GB"/>
              </w:rPr>
              <w:t>Communicate any abnormal results to the specialist.</w:t>
            </w:r>
          </w:p>
          <w:p w14:paraId="0C59E5B2" w14:textId="2FF21214"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Manage adverse effects as detailed in </w:t>
            </w:r>
            <w:hyperlink w:anchor="Nine_ADRs_and_management" w:history="1">
              <w:r w:rsidRPr="00F83C4F">
                <w:rPr>
                  <w:rStyle w:val="Hyperlink"/>
                  <w:rFonts w:eastAsia="Times New Roman" w:cstheme="minorHAnsi"/>
                  <w:iCs/>
                  <w:sz w:val="22"/>
                  <w:lang w:eastAsia="en-GB"/>
                </w:rPr>
                <w:t xml:space="preserve">section </w:t>
              </w:r>
              <w:r w:rsidR="00F83C4F" w:rsidRPr="00F83C4F">
                <w:rPr>
                  <w:rStyle w:val="Hyperlink"/>
                  <w:rFonts w:eastAsia="Times New Roman" w:cstheme="minorHAnsi"/>
                  <w:iCs/>
                  <w:sz w:val="22"/>
                  <w:lang w:eastAsia="en-GB"/>
                </w:rPr>
                <w:t>9</w:t>
              </w:r>
            </w:hyperlink>
            <w:r w:rsidRPr="00924775">
              <w:rPr>
                <w:rFonts w:eastAsia="Times New Roman" w:cstheme="minorHAnsi"/>
                <w:iCs/>
                <w:color w:val="000000"/>
                <w:sz w:val="22"/>
                <w:lang w:eastAsia="en-GB"/>
              </w:rPr>
              <w:t xml:space="preserve"> and discuss with specialist team when required.</w:t>
            </w:r>
          </w:p>
          <w:p w14:paraId="6FCD9D47" w14:textId="51008225"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Stop </w:t>
            </w:r>
            <w:r w:rsidR="005E5C79" w:rsidRPr="00924775">
              <w:rPr>
                <w:rFonts w:eastAsia="Times New Roman" w:cstheme="minorHAnsi"/>
                <w:iCs/>
                <w:color w:val="FF0000"/>
                <w:sz w:val="22"/>
                <w:lang w:eastAsia="en-GB"/>
              </w:rPr>
              <w:t>medicine name</w:t>
            </w:r>
            <w:r w:rsidRPr="00924775">
              <w:rPr>
                <w:rFonts w:eastAsia="Times New Roman" w:cstheme="minorHAnsi"/>
                <w:iCs/>
                <w:color w:val="000000"/>
                <w:sz w:val="22"/>
                <w:lang w:eastAsia="en-GB"/>
              </w:rPr>
              <w:t xml:space="preserve"> and discuss urgently with the specialist if the patient develops signs of </w:t>
            </w:r>
            <w:r w:rsidR="005E5C79" w:rsidRPr="00924775">
              <w:rPr>
                <w:rFonts w:eastAsia="Times New Roman" w:cstheme="minorHAnsi"/>
                <w:iCs/>
                <w:color w:val="FF0000"/>
                <w:sz w:val="22"/>
                <w:lang w:eastAsia="en-GB"/>
              </w:rPr>
              <w:t>enter relevant details</w:t>
            </w:r>
            <w:r w:rsidR="005E5C79" w:rsidRPr="00924775">
              <w:rPr>
                <w:rFonts w:eastAsia="Times New Roman" w:cstheme="minorHAnsi"/>
                <w:iCs/>
                <w:color w:val="000000"/>
                <w:sz w:val="22"/>
                <w:lang w:eastAsia="en-GB"/>
              </w:rPr>
              <w:t xml:space="preserve">. </w:t>
            </w:r>
            <w:r w:rsidR="005E5C79" w:rsidRPr="00924775">
              <w:rPr>
                <w:rFonts w:eastAsia="Times New Roman" w:cstheme="minorHAnsi"/>
                <w:i/>
                <w:color w:val="FF0000"/>
                <w:sz w:val="22"/>
                <w:lang w:eastAsia="en-GB"/>
              </w:rPr>
              <w:t>(delete if not applicable)</w:t>
            </w:r>
            <w:r w:rsidRPr="00924775">
              <w:rPr>
                <w:rFonts w:eastAsia="Times New Roman" w:cstheme="minorHAnsi"/>
                <w:iCs/>
                <w:color w:val="000000"/>
                <w:sz w:val="22"/>
                <w:lang w:eastAsia="en-GB"/>
              </w:rPr>
              <w:t xml:space="preserve"> </w:t>
            </w:r>
          </w:p>
          <w:p w14:paraId="3E178ECD" w14:textId="164E912D"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Discuss with the specialist if the patient </w:t>
            </w:r>
            <w:r w:rsidR="00BF0C79" w:rsidRPr="00924775">
              <w:rPr>
                <w:rFonts w:eastAsia="Times New Roman" w:cstheme="minorHAnsi"/>
                <w:iCs/>
                <w:color w:val="000000"/>
                <w:sz w:val="22"/>
                <w:lang w:eastAsia="en-GB"/>
              </w:rPr>
              <w:t xml:space="preserve">becomes or </w:t>
            </w:r>
            <w:r w:rsidRPr="00924775">
              <w:rPr>
                <w:rFonts w:eastAsia="Times New Roman" w:cstheme="minorHAnsi"/>
                <w:iCs/>
                <w:color w:val="000000"/>
                <w:sz w:val="22"/>
                <w:lang w:eastAsia="en-GB"/>
              </w:rPr>
              <w:t>plans to become pregnant.</w:t>
            </w:r>
            <w:r w:rsidR="005E5C79" w:rsidRPr="00924775">
              <w:rPr>
                <w:rFonts w:eastAsia="Times New Roman" w:cstheme="minorHAnsi"/>
                <w:iCs/>
                <w:color w:val="000000"/>
                <w:sz w:val="22"/>
                <w:lang w:eastAsia="en-GB"/>
              </w:rPr>
              <w:t xml:space="preserve"> </w:t>
            </w:r>
            <w:r w:rsidR="005E5C79" w:rsidRPr="00924775">
              <w:rPr>
                <w:rFonts w:eastAsia="Times New Roman" w:cstheme="minorHAnsi"/>
                <w:i/>
                <w:color w:val="FF0000"/>
                <w:sz w:val="22"/>
                <w:lang w:eastAsia="en-GB"/>
              </w:rPr>
              <w:t>(delete if not applicable)</w:t>
            </w:r>
          </w:p>
          <w:p w14:paraId="6D6C72B1" w14:textId="26ED6605"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Stop treatment as advised by the specialist. </w:t>
            </w:r>
          </w:p>
          <w:p w14:paraId="09D140FC" w14:textId="77777777" w:rsidR="00055685" w:rsidRDefault="00055685" w:rsidP="008D5964">
            <w:pPr>
              <w:pStyle w:val="Heading2"/>
              <w:rPr>
                <w:lang w:eastAsia="en-GB"/>
              </w:rPr>
            </w:pPr>
            <w:r w:rsidRPr="002D255E">
              <w:rPr>
                <w:lang w:eastAsia="en-GB"/>
              </w:rPr>
              <w:t>Patient and/or carer responsibilities</w:t>
            </w:r>
          </w:p>
          <w:p w14:paraId="6B04DCA9" w14:textId="56141680" w:rsidR="005E5C79" w:rsidRPr="005E5C79" w:rsidRDefault="005E5C79" w:rsidP="005E5C79">
            <w:pPr>
              <w:spacing w:after="120" w:line="240" w:lineRule="auto"/>
              <w:rPr>
                <w:rFonts w:cs="Arial"/>
                <w:i/>
                <w:color w:val="FF0000"/>
                <w:sz w:val="20"/>
              </w:rPr>
            </w:pPr>
            <w:r w:rsidRPr="00A4646B">
              <w:rPr>
                <w:rFonts w:cs="Arial"/>
                <w:i/>
                <w:color w:val="FF0000"/>
                <w:sz w:val="20"/>
              </w:rPr>
              <w:t>(</w:t>
            </w:r>
            <w:r>
              <w:rPr>
                <w:rFonts w:cs="Arial"/>
                <w:i/>
                <w:color w:val="FF0000"/>
                <w:sz w:val="20"/>
              </w:rPr>
              <w:t xml:space="preserve">Add in any other roles and responsibilities specific to the medicine in this shared care guideline, e.g. </w:t>
            </w:r>
            <w:r w:rsidRPr="00A4646B">
              <w:rPr>
                <w:rFonts w:cs="Arial"/>
                <w:i/>
                <w:color w:val="FF0000"/>
                <w:sz w:val="20"/>
              </w:rPr>
              <w:t>keeping record books and showing this to relevant HCP</w:t>
            </w:r>
            <w:r>
              <w:rPr>
                <w:rFonts w:cs="Arial"/>
                <w:i/>
                <w:color w:val="FF0000"/>
                <w:sz w:val="20"/>
              </w:rPr>
              <w:t>,</w:t>
            </w:r>
            <w:r w:rsidRPr="00A4646B">
              <w:rPr>
                <w:rFonts w:cs="Arial"/>
                <w:i/>
                <w:color w:val="FF0000"/>
                <w:sz w:val="20"/>
              </w:rPr>
              <w:t xml:space="preserve"> etc</w:t>
            </w:r>
            <w:r>
              <w:rPr>
                <w:rFonts w:cs="Arial"/>
                <w:i/>
                <w:color w:val="FF0000"/>
                <w:sz w:val="20"/>
              </w:rPr>
              <w:t>.</w:t>
            </w:r>
            <w:r w:rsidRPr="00A4646B">
              <w:rPr>
                <w:rFonts w:cs="Arial"/>
                <w:i/>
                <w:color w:val="FF0000"/>
                <w:sz w:val="20"/>
              </w:rPr>
              <w:t>)</w:t>
            </w:r>
          </w:p>
          <w:p w14:paraId="412F22F0" w14:textId="66C5F93F"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Take </w:t>
            </w:r>
            <w:r w:rsidR="005E5C79" w:rsidRPr="00924775">
              <w:rPr>
                <w:color w:val="FF0000"/>
                <w:sz w:val="22"/>
              </w:rPr>
              <w:t>medicine name</w:t>
            </w:r>
            <w:r w:rsidRPr="00924775">
              <w:rPr>
                <w:rFonts w:eastAsia="Times New Roman" w:cstheme="minorHAnsi"/>
                <w:iCs/>
                <w:color w:val="000000"/>
                <w:sz w:val="22"/>
                <w:lang w:eastAsia="en-GB"/>
              </w:rPr>
              <w:t xml:space="preserve"> as prescribed </w:t>
            </w:r>
            <w:r w:rsidR="00BF0C79" w:rsidRPr="00924775">
              <w:rPr>
                <w:rFonts w:eastAsia="Times New Roman" w:cstheme="minorHAnsi"/>
                <w:iCs/>
                <w:color w:val="000000"/>
                <w:sz w:val="22"/>
                <w:lang w:eastAsia="en-GB"/>
              </w:rPr>
              <w:t>and do not stop taking it without speaking to their primary care prescriber or specialist.</w:t>
            </w:r>
          </w:p>
          <w:p w14:paraId="0CFE06A0" w14:textId="0F3FF32D" w:rsidR="00BF0C79" w:rsidRPr="00924775" w:rsidRDefault="00BF0C79" w:rsidP="00BF0C79">
            <w:pPr>
              <w:pStyle w:val="ListParagraph"/>
              <w:numPr>
                <w:ilvl w:val="0"/>
                <w:numId w:val="22"/>
              </w:numPr>
              <w:spacing w:after="0" w:line="240" w:lineRule="auto"/>
              <w:ind w:left="357" w:hanging="357"/>
              <w:rPr>
                <w:rFonts w:eastAsia="Times New Roman" w:cstheme="minorHAnsi"/>
                <w:iCs/>
                <w:color w:val="000000"/>
                <w:sz w:val="22"/>
                <w:lang w:eastAsia="en-GB"/>
              </w:rPr>
            </w:pPr>
            <w:r w:rsidRPr="00924775">
              <w:rPr>
                <w:rFonts w:eastAsia="Times New Roman" w:cstheme="minorHAnsi"/>
                <w:iCs/>
                <w:color w:val="000000"/>
                <w:sz w:val="22"/>
                <w:lang w:eastAsia="en-GB"/>
              </w:rPr>
              <w:t xml:space="preserve">Tell anyone who prescribes them a medicine that they are taking </w:t>
            </w:r>
            <w:r w:rsidRPr="00924775">
              <w:rPr>
                <w:rFonts w:eastAsia="Times New Roman" w:cstheme="minorHAnsi"/>
                <w:iCs/>
                <w:color w:val="FF0000"/>
                <w:sz w:val="22"/>
                <w:lang w:eastAsia="en-GB"/>
              </w:rPr>
              <w:t>medicine name</w:t>
            </w:r>
            <w:r w:rsidRPr="00924775">
              <w:rPr>
                <w:rFonts w:eastAsia="Times New Roman" w:cstheme="minorHAnsi"/>
                <w:iCs/>
                <w:color w:val="000000"/>
                <w:sz w:val="22"/>
                <w:lang w:eastAsia="en-GB"/>
              </w:rPr>
              <w:t>.</w:t>
            </w:r>
          </w:p>
          <w:p w14:paraId="485C354B" w14:textId="1D900765"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Attend regularly for monitoring and review appointments with primary care and specialist, and keep contact details up to date with both prescribers. If provided, they should bring their monitoring booklet to each appointment</w:t>
            </w:r>
            <w:r w:rsidR="009F41AE" w:rsidRPr="00924775">
              <w:rPr>
                <w:rFonts w:eastAsia="Times New Roman" w:cstheme="minorHAnsi"/>
                <w:iCs/>
                <w:color w:val="000000"/>
                <w:sz w:val="22"/>
                <w:lang w:eastAsia="en-GB"/>
              </w:rPr>
              <w:t xml:space="preserve"> </w:t>
            </w:r>
            <w:r w:rsidR="009F41AE" w:rsidRPr="00924775">
              <w:rPr>
                <w:rFonts w:eastAsia="Times New Roman" w:cstheme="minorHAnsi"/>
                <w:i/>
                <w:color w:val="FF0000"/>
                <w:sz w:val="22"/>
                <w:lang w:eastAsia="en-GB"/>
              </w:rPr>
              <w:t>(delete i</w:t>
            </w:r>
            <w:r w:rsidR="00BF0C79" w:rsidRPr="00924775">
              <w:rPr>
                <w:rFonts w:eastAsia="Times New Roman" w:cstheme="minorHAnsi"/>
                <w:i/>
                <w:color w:val="FF0000"/>
                <w:sz w:val="22"/>
                <w:lang w:eastAsia="en-GB"/>
              </w:rPr>
              <w:t>f</w:t>
            </w:r>
            <w:r w:rsidR="009F41AE" w:rsidRPr="00924775">
              <w:rPr>
                <w:rFonts w:eastAsia="Times New Roman" w:cstheme="minorHAnsi"/>
                <w:i/>
                <w:color w:val="FF0000"/>
                <w:sz w:val="22"/>
                <w:lang w:eastAsia="en-GB"/>
              </w:rPr>
              <w:t xml:space="preserve"> not applicable)</w:t>
            </w:r>
            <w:r w:rsidRPr="00924775">
              <w:rPr>
                <w:rFonts w:eastAsia="Times New Roman" w:cstheme="minorHAnsi"/>
                <w:iCs/>
                <w:color w:val="000000"/>
                <w:sz w:val="22"/>
                <w:lang w:eastAsia="en-GB"/>
              </w:rPr>
              <w:t>. Be aware that medicines may be stopped if they do not attend</w:t>
            </w:r>
            <w:r w:rsidR="00BF0C79" w:rsidRPr="00924775">
              <w:rPr>
                <w:rFonts w:eastAsia="Times New Roman" w:cstheme="minorHAnsi"/>
                <w:iCs/>
                <w:color w:val="000000"/>
                <w:sz w:val="22"/>
                <w:lang w:eastAsia="en-GB"/>
              </w:rPr>
              <w:t xml:space="preserve"> appointments</w:t>
            </w:r>
            <w:r w:rsidRPr="00924775">
              <w:rPr>
                <w:rFonts w:eastAsia="Times New Roman" w:cstheme="minorHAnsi"/>
                <w:iCs/>
                <w:color w:val="000000"/>
                <w:sz w:val="22"/>
                <w:lang w:eastAsia="en-GB"/>
              </w:rPr>
              <w:t>.</w:t>
            </w:r>
            <w:r w:rsidR="00045D61">
              <w:rPr>
                <w:rFonts w:eastAsia="Times New Roman" w:cstheme="minorHAnsi"/>
                <w:iCs/>
                <w:color w:val="000000"/>
                <w:sz w:val="22"/>
                <w:lang w:eastAsia="en-GB"/>
              </w:rPr>
              <w:t xml:space="preserve"> Test results </w:t>
            </w:r>
            <w:r w:rsidR="00121AE1">
              <w:rPr>
                <w:rFonts w:eastAsia="Times New Roman" w:cstheme="minorHAnsi"/>
                <w:iCs/>
                <w:color w:val="000000"/>
                <w:sz w:val="22"/>
                <w:lang w:eastAsia="en-GB"/>
              </w:rPr>
              <w:t xml:space="preserve">from the GP surgery, and hospital test results which have been sent to the GP surgery, </w:t>
            </w:r>
            <w:r w:rsidR="00045D61">
              <w:rPr>
                <w:rFonts w:eastAsia="Times New Roman" w:cstheme="minorHAnsi"/>
                <w:iCs/>
                <w:color w:val="000000"/>
                <w:sz w:val="22"/>
                <w:lang w:eastAsia="en-GB"/>
              </w:rPr>
              <w:t xml:space="preserve">may be reviewed via the </w:t>
            </w:r>
            <w:hyperlink r:id="rId20" w:history="1">
              <w:r w:rsidR="00045D61" w:rsidRPr="00045D61">
                <w:rPr>
                  <w:rStyle w:val="Hyperlink"/>
                  <w:rFonts w:eastAsia="Times New Roman" w:cstheme="minorHAnsi"/>
                  <w:iCs/>
                  <w:sz w:val="22"/>
                  <w:lang w:eastAsia="en-GB"/>
                </w:rPr>
                <w:t>NHS app</w:t>
              </w:r>
            </w:hyperlink>
            <w:r w:rsidR="00045D61">
              <w:rPr>
                <w:rFonts w:eastAsia="Times New Roman" w:cstheme="minorHAnsi"/>
                <w:iCs/>
                <w:color w:val="000000"/>
                <w:sz w:val="22"/>
                <w:lang w:eastAsia="en-GB"/>
              </w:rPr>
              <w:t>.</w:t>
            </w:r>
          </w:p>
          <w:p w14:paraId="14754B80" w14:textId="051EE750"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Report adverse effects to their primary care prescriber. Seek immediate medical attention if they develop any symptoms as detailed in </w:t>
            </w:r>
            <w:hyperlink w:anchor="Ten_advice_to_patients" w:history="1">
              <w:r w:rsidRPr="00F83C4F">
                <w:rPr>
                  <w:rStyle w:val="Hyperlink"/>
                  <w:rFonts w:eastAsia="Times New Roman" w:cstheme="minorHAnsi"/>
                  <w:iCs/>
                  <w:sz w:val="22"/>
                  <w:lang w:eastAsia="en-GB"/>
                </w:rPr>
                <w:t>section 1</w:t>
              </w:r>
              <w:r w:rsidR="00F83C4F" w:rsidRPr="00F83C4F">
                <w:rPr>
                  <w:rStyle w:val="Hyperlink"/>
                  <w:rFonts w:eastAsia="Times New Roman" w:cstheme="minorHAnsi"/>
                  <w:iCs/>
                  <w:sz w:val="22"/>
                  <w:lang w:eastAsia="en-GB"/>
                </w:rPr>
                <w:t>0</w:t>
              </w:r>
            </w:hyperlink>
            <w:r w:rsidRPr="00924775">
              <w:rPr>
                <w:rFonts w:eastAsia="Times New Roman" w:cstheme="minorHAnsi"/>
                <w:iCs/>
                <w:color w:val="000000"/>
                <w:sz w:val="22"/>
                <w:lang w:eastAsia="en-GB"/>
              </w:rPr>
              <w:t>.</w:t>
            </w:r>
          </w:p>
          <w:p w14:paraId="72DE2B63" w14:textId="0BA8DB5B" w:rsidR="008D5964" w:rsidRPr="00924775" w:rsidRDefault="008D5964" w:rsidP="008D5964">
            <w:pPr>
              <w:pStyle w:val="ListParagraph"/>
              <w:numPr>
                <w:ilvl w:val="0"/>
                <w:numId w:val="22"/>
              </w:numPr>
              <w:spacing w:before="60" w:after="60" w:line="240" w:lineRule="auto"/>
              <w:contextualSpacing/>
              <w:rPr>
                <w:rFonts w:eastAsia="Times New Roman" w:cstheme="minorHAnsi"/>
                <w:iCs/>
                <w:color w:val="000000"/>
                <w:sz w:val="22"/>
                <w:lang w:eastAsia="en-GB"/>
              </w:rPr>
            </w:pPr>
            <w:r w:rsidRPr="00924775">
              <w:rPr>
                <w:rFonts w:eastAsia="Times New Roman" w:cstheme="minorHAnsi"/>
                <w:iCs/>
                <w:color w:val="000000"/>
                <w:sz w:val="22"/>
                <w:lang w:eastAsia="en-GB"/>
              </w:rPr>
              <w:t xml:space="preserve">Report the use of any over the counter (OTC) medications to primary care and specialist and be aware they should discuss the use of </w:t>
            </w:r>
            <w:r w:rsidR="005E5C79" w:rsidRPr="00924775">
              <w:rPr>
                <w:rFonts w:eastAsia="Times New Roman" w:cstheme="minorHAnsi"/>
                <w:iCs/>
                <w:color w:val="FF0000"/>
                <w:sz w:val="22"/>
                <w:lang w:eastAsia="en-GB"/>
              </w:rPr>
              <w:t>medicine name</w:t>
            </w:r>
            <w:r w:rsidRPr="00924775">
              <w:rPr>
                <w:rFonts w:eastAsia="Times New Roman" w:cstheme="minorHAnsi"/>
                <w:iCs/>
                <w:color w:val="FF0000"/>
                <w:sz w:val="22"/>
                <w:lang w:eastAsia="en-GB"/>
              </w:rPr>
              <w:t xml:space="preserve"> </w:t>
            </w:r>
            <w:r w:rsidRPr="00924775">
              <w:rPr>
                <w:rFonts w:eastAsia="Times New Roman" w:cstheme="minorHAnsi"/>
                <w:iCs/>
                <w:color w:val="000000"/>
                <w:sz w:val="22"/>
                <w:lang w:eastAsia="en-GB"/>
              </w:rPr>
              <w:t>with their pharmacist before purchasing any OTC medicines.</w:t>
            </w:r>
          </w:p>
          <w:p w14:paraId="61DDC8D4" w14:textId="32AFD2B0" w:rsidR="008D5964" w:rsidRPr="002D255E" w:rsidRDefault="00BF0C79" w:rsidP="008D5964">
            <w:pPr>
              <w:pStyle w:val="ListParagraph"/>
              <w:numPr>
                <w:ilvl w:val="0"/>
                <w:numId w:val="22"/>
              </w:numPr>
              <w:spacing w:before="60" w:after="60" w:line="240" w:lineRule="auto"/>
              <w:contextualSpacing/>
              <w:rPr>
                <w:rFonts w:eastAsia="Times New Roman" w:cstheme="minorHAnsi"/>
                <w:color w:val="000000"/>
                <w:lang w:eastAsia="en-GB"/>
              </w:rPr>
            </w:pPr>
            <w:r w:rsidRPr="00924775">
              <w:rPr>
                <w:rFonts w:eastAsia="Times New Roman" w:cstheme="minorHAnsi"/>
                <w:color w:val="000000"/>
                <w:sz w:val="22"/>
                <w:lang w:eastAsia="en-GB"/>
              </w:rPr>
              <w:t xml:space="preserve">Inform the specialist or primary care prescriber as soon as possible if they become pregnant or wish to become pregnant. </w:t>
            </w:r>
            <w:r w:rsidRPr="00924775">
              <w:rPr>
                <w:rFonts w:eastAsia="Times New Roman" w:cstheme="minorHAnsi"/>
                <w:i/>
                <w:iCs/>
                <w:color w:val="FF0000"/>
                <w:sz w:val="22"/>
                <w:lang w:eastAsia="en-GB"/>
              </w:rPr>
              <w:t>(delete if not applicable)</w:t>
            </w:r>
          </w:p>
        </w:tc>
      </w:tr>
      <w:tr w:rsidR="00055685" w:rsidRPr="002D255E" w14:paraId="2BBEC1D0" w14:textId="77777777" w:rsidTr="7234176C">
        <w:trPr>
          <w:jc w:val="center"/>
        </w:trPr>
        <w:tc>
          <w:tcPr>
            <w:tcW w:w="10455" w:type="dxa"/>
            <w:gridSpan w:val="3"/>
            <w:tcBorders>
              <w:bottom w:val="nil"/>
            </w:tcBorders>
            <w:shd w:val="clear" w:color="auto" w:fill="F2F2F2" w:themeFill="background1" w:themeFillShade="F2"/>
          </w:tcPr>
          <w:p w14:paraId="14521365" w14:textId="6DDD4E82" w:rsidR="00055685" w:rsidRPr="002D255E" w:rsidRDefault="00055685" w:rsidP="00FA713C">
            <w:pPr>
              <w:pStyle w:val="Heading1"/>
              <w:tabs>
                <w:tab w:val="right" w:pos="10238"/>
              </w:tabs>
              <w:rPr>
                <w:rFonts w:cs="Arial"/>
              </w:rPr>
            </w:pPr>
            <w:bookmarkStart w:id="1" w:name="One_background"/>
            <w:r w:rsidRPr="002D255E">
              <w:rPr>
                <w:lang w:eastAsia="en-GB"/>
              </w:rPr>
              <w:lastRenderedPageBreak/>
              <w:t>Background</w:t>
            </w:r>
            <w:bookmarkEnd w:id="1"/>
            <w:r w:rsidRPr="002D255E">
              <w:rPr>
                <w:lang w:eastAsia="en-GB"/>
              </w:rPr>
              <w:t xml:space="preserve"> </w:t>
            </w:r>
            <w:r w:rsidRPr="002D255E">
              <w:rPr>
                <w:lang w:eastAsia="en-GB"/>
              </w:rPr>
              <w:tab/>
            </w:r>
            <w:hyperlink w:anchor="Responsibilities" w:history="1">
              <w:r w:rsidR="00FA713C" w:rsidRPr="002D255E">
                <w:rPr>
                  <w:rStyle w:val="Hyperlink"/>
                  <w:rFonts w:eastAsia="Times New Roman" w:cs="Arial"/>
                  <w:b w:val="0"/>
                  <w:bCs w:val="0"/>
                  <w:sz w:val="24"/>
                  <w:szCs w:val="24"/>
                  <w:lang w:eastAsia="en-GB"/>
                </w:rPr>
                <w:t>Back to top</w:t>
              </w:r>
            </w:hyperlink>
          </w:p>
        </w:tc>
      </w:tr>
      <w:tr w:rsidR="008D5964" w:rsidRPr="002D255E" w14:paraId="295ECE79" w14:textId="77777777" w:rsidTr="7234176C">
        <w:trPr>
          <w:jc w:val="center"/>
        </w:trPr>
        <w:tc>
          <w:tcPr>
            <w:tcW w:w="10455" w:type="dxa"/>
            <w:gridSpan w:val="3"/>
            <w:tcBorders>
              <w:top w:val="nil"/>
              <w:bottom w:val="single" w:sz="4" w:space="0" w:color="auto"/>
            </w:tcBorders>
            <w:shd w:val="clear" w:color="auto" w:fill="auto"/>
          </w:tcPr>
          <w:p w14:paraId="47E6B4F1" w14:textId="77777777" w:rsidR="00D03F4C" w:rsidRPr="00924775" w:rsidRDefault="000D2A07" w:rsidP="008D5964">
            <w:pPr>
              <w:spacing w:before="60" w:after="60" w:line="240" w:lineRule="auto"/>
              <w:rPr>
                <w:color w:val="FF0000"/>
                <w:sz w:val="22"/>
              </w:rPr>
            </w:pPr>
            <w:r w:rsidRPr="00924775">
              <w:rPr>
                <w:color w:val="FF0000"/>
                <w:sz w:val="22"/>
              </w:rPr>
              <w:t>Include a brief overview of the medicine (including mode of action) and the condition(s) being treated.</w:t>
            </w:r>
          </w:p>
          <w:p w14:paraId="2C6F6ED1" w14:textId="0430317A" w:rsidR="000D2A07" w:rsidRPr="00924775" w:rsidRDefault="000D2A07" w:rsidP="008D5964">
            <w:pPr>
              <w:spacing w:before="60" w:after="60" w:line="240" w:lineRule="auto"/>
              <w:rPr>
                <w:color w:val="FF0000"/>
                <w:sz w:val="22"/>
              </w:rPr>
            </w:pPr>
            <w:r w:rsidRPr="00924775">
              <w:rPr>
                <w:color w:val="FF0000"/>
                <w:sz w:val="22"/>
              </w:rPr>
              <w:t xml:space="preserve"> </w:t>
            </w:r>
          </w:p>
          <w:p w14:paraId="6C5DC46F" w14:textId="6A9DFA22" w:rsidR="008D5964" w:rsidRPr="00924775" w:rsidRDefault="000D2A07" w:rsidP="008D5964">
            <w:pPr>
              <w:spacing w:before="60" w:after="60" w:line="240" w:lineRule="auto"/>
              <w:rPr>
                <w:sz w:val="22"/>
              </w:rPr>
            </w:pPr>
            <w:r w:rsidRPr="00924775">
              <w:rPr>
                <w:color w:val="FF0000"/>
                <w:sz w:val="22"/>
              </w:rPr>
              <w:lastRenderedPageBreak/>
              <w:t>Medicine name</w:t>
            </w:r>
            <w:r w:rsidR="008D5964" w:rsidRPr="00924775">
              <w:rPr>
                <w:sz w:val="22"/>
              </w:rPr>
              <w:t xml:space="preserve"> is licensed for the treatment of </w:t>
            </w:r>
            <w:r w:rsidRPr="00924775">
              <w:rPr>
                <w:color w:val="FF0000"/>
                <w:sz w:val="22"/>
              </w:rPr>
              <w:t>insert relevant information</w:t>
            </w:r>
            <w:r w:rsidR="008D5964" w:rsidRPr="00924775">
              <w:rPr>
                <w:sz w:val="22"/>
              </w:rPr>
              <w:t>. It is not licensed for all the conditions it is used to treat. However, its use for the indications below are well established and supported by clinical specialists</w:t>
            </w:r>
            <w:r w:rsidRPr="00924775">
              <w:rPr>
                <w:sz w:val="22"/>
              </w:rPr>
              <w:t xml:space="preserve"> </w:t>
            </w:r>
            <w:r w:rsidRPr="00924775">
              <w:rPr>
                <w:i/>
                <w:iCs/>
                <w:color w:val="FF0000"/>
                <w:sz w:val="22"/>
              </w:rPr>
              <w:t>(delete if not applicable</w:t>
            </w:r>
            <w:r w:rsidR="00D03F4C" w:rsidRPr="00924775">
              <w:rPr>
                <w:i/>
                <w:iCs/>
                <w:color w:val="FF0000"/>
                <w:sz w:val="22"/>
              </w:rPr>
              <w:t xml:space="preserve"> i.e. all use is covered by the product license</w:t>
            </w:r>
            <w:r w:rsidRPr="00924775">
              <w:rPr>
                <w:i/>
                <w:iCs/>
                <w:color w:val="FF0000"/>
                <w:sz w:val="22"/>
              </w:rPr>
              <w:t>)</w:t>
            </w:r>
            <w:r w:rsidR="008D5964" w:rsidRPr="00924775">
              <w:rPr>
                <w:sz w:val="22"/>
              </w:rPr>
              <w:t>.</w:t>
            </w:r>
          </w:p>
          <w:p w14:paraId="36C43632" w14:textId="77777777" w:rsidR="00D03F4C" w:rsidRPr="00924775" w:rsidRDefault="00D03F4C" w:rsidP="008D5964">
            <w:pPr>
              <w:spacing w:before="60" w:after="60" w:line="240" w:lineRule="auto"/>
              <w:rPr>
                <w:sz w:val="22"/>
              </w:rPr>
            </w:pPr>
          </w:p>
          <w:p w14:paraId="548264B8" w14:textId="44A94E8D" w:rsidR="008D5964" w:rsidRPr="002D255E" w:rsidRDefault="008D5964" w:rsidP="00D03F4C">
            <w:pPr>
              <w:spacing w:after="120" w:line="240" w:lineRule="auto"/>
            </w:pPr>
            <w:r w:rsidRPr="00924775">
              <w:rPr>
                <w:sz w:val="22"/>
              </w:rPr>
              <w:t xml:space="preserve">This shared care </w:t>
            </w:r>
            <w:r w:rsidR="005E5C79" w:rsidRPr="00924775">
              <w:rPr>
                <w:sz w:val="22"/>
              </w:rPr>
              <w:t xml:space="preserve">guideline </w:t>
            </w:r>
            <w:r w:rsidRPr="00924775">
              <w:rPr>
                <w:sz w:val="22"/>
              </w:rPr>
              <w:t>does not cover treatment of people less than 18 years old</w:t>
            </w:r>
            <w:r w:rsidR="000D2A07" w:rsidRPr="00924775">
              <w:rPr>
                <w:sz w:val="22"/>
              </w:rPr>
              <w:t xml:space="preserve"> </w:t>
            </w:r>
            <w:r w:rsidR="000D2A07" w:rsidRPr="00924775">
              <w:rPr>
                <w:i/>
                <w:iCs/>
                <w:color w:val="FF0000"/>
                <w:sz w:val="22"/>
              </w:rPr>
              <w:t>(delete if not applicable; enter any other relevant exclusions)</w:t>
            </w:r>
            <w:r w:rsidRPr="00924775">
              <w:rPr>
                <w:sz w:val="22"/>
              </w:rPr>
              <w:t>.</w:t>
            </w:r>
            <w:r w:rsidRPr="002D255E">
              <w:t xml:space="preserve"> </w:t>
            </w:r>
          </w:p>
        </w:tc>
      </w:tr>
      <w:tr w:rsidR="008D5964" w:rsidRPr="002D255E" w14:paraId="061A519D" w14:textId="77777777" w:rsidTr="7234176C">
        <w:trPr>
          <w:jc w:val="center"/>
        </w:trPr>
        <w:tc>
          <w:tcPr>
            <w:tcW w:w="10455" w:type="dxa"/>
            <w:gridSpan w:val="3"/>
            <w:tcBorders>
              <w:bottom w:val="nil"/>
            </w:tcBorders>
            <w:shd w:val="clear" w:color="auto" w:fill="F2F2F2" w:themeFill="background1" w:themeFillShade="F2"/>
          </w:tcPr>
          <w:p w14:paraId="31A445E6" w14:textId="7822028A" w:rsidR="008D5964" w:rsidRPr="002D255E" w:rsidRDefault="008D5964" w:rsidP="008D5964">
            <w:pPr>
              <w:pStyle w:val="Heading1"/>
              <w:tabs>
                <w:tab w:val="right" w:pos="10240"/>
              </w:tabs>
              <w:rPr>
                <w:lang w:eastAsia="en-GB"/>
              </w:rPr>
            </w:pPr>
            <w:bookmarkStart w:id="2" w:name="Two_indications"/>
            <w:bookmarkEnd w:id="2"/>
            <w:r w:rsidRPr="002D255E">
              <w:rPr>
                <w:lang w:eastAsia="en-GB"/>
              </w:rPr>
              <w:lastRenderedPageBreak/>
              <w:t>Indications</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8D5964" w:rsidRPr="002D255E" w14:paraId="29A3FC11" w14:textId="77777777" w:rsidTr="7234176C">
        <w:trPr>
          <w:jc w:val="center"/>
        </w:trPr>
        <w:tc>
          <w:tcPr>
            <w:tcW w:w="10455" w:type="dxa"/>
            <w:gridSpan w:val="3"/>
            <w:tcBorders>
              <w:top w:val="nil"/>
              <w:bottom w:val="single" w:sz="4" w:space="0" w:color="auto"/>
            </w:tcBorders>
            <w:shd w:val="clear" w:color="auto" w:fill="auto"/>
          </w:tcPr>
          <w:p w14:paraId="7969CBEC" w14:textId="3025126F" w:rsidR="000D2A07" w:rsidRPr="00924775" w:rsidRDefault="000D2A07" w:rsidP="000D2A07">
            <w:pPr>
              <w:spacing w:before="60" w:after="0" w:line="240" w:lineRule="auto"/>
              <w:rPr>
                <w:rFonts w:cs="Arial"/>
                <w:color w:val="FF0000"/>
                <w:sz w:val="22"/>
              </w:rPr>
            </w:pPr>
            <w:r w:rsidRPr="00924775">
              <w:rPr>
                <w:rFonts w:cs="Arial"/>
                <w:color w:val="FF0000"/>
                <w:sz w:val="22"/>
              </w:rPr>
              <w:t>Enter indication(s) covered by the SCG. State whether licensed or unlicensed (</w:t>
            </w:r>
            <w:r w:rsidRPr="00924775">
              <w:rPr>
                <w:rFonts w:cs="Arial"/>
                <w:bCs/>
                <w:i/>
                <w:color w:val="FF0000"/>
                <w:sz w:val="22"/>
                <w:lang w:val="en-AU"/>
              </w:rPr>
              <w:t>If intended for off-label use, local agreement and supporting information required).</w:t>
            </w:r>
          </w:p>
          <w:p w14:paraId="0D4F1736" w14:textId="77777777" w:rsidR="000D2A07" w:rsidRPr="00924775" w:rsidRDefault="000D2A07" w:rsidP="000D2A07">
            <w:pPr>
              <w:spacing w:after="0" w:line="240" w:lineRule="auto"/>
              <w:rPr>
                <w:rFonts w:cs="Arial"/>
                <w:color w:val="000000"/>
                <w:sz w:val="22"/>
              </w:rPr>
            </w:pPr>
          </w:p>
          <w:p w14:paraId="026177B5" w14:textId="6AC11BA9" w:rsidR="008D5964" w:rsidRPr="00924775" w:rsidRDefault="008D5964" w:rsidP="000D2A07">
            <w:pPr>
              <w:spacing w:before="60" w:after="0" w:line="240" w:lineRule="auto"/>
              <w:rPr>
                <w:rFonts w:cs="Arial"/>
                <w:color w:val="000000"/>
                <w:sz w:val="22"/>
              </w:rPr>
            </w:pPr>
            <w:r w:rsidRPr="00924775">
              <w:rPr>
                <w:rFonts w:cs="Arial"/>
                <w:color w:val="000000"/>
                <w:sz w:val="22"/>
              </w:rPr>
              <w:t xml:space="preserve">The specialist </w:t>
            </w:r>
            <w:r w:rsidRPr="00924775">
              <w:rPr>
                <w:rFonts w:cs="Arial"/>
                <w:color w:val="000000"/>
                <w:sz w:val="22"/>
                <w:u w:val="single"/>
              </w:rPr>
              <w:t>must specify the indication for each patient</w:t>
            </w:r>
            <w:r w:rsidRPr="00924775">
              <w:rPr>
                <w:rFonts w:cs="Arial"/>
                <w:color w:val="000000"/>
                <w:sz w:val="22"/>
              </w:rPr>
              <w:t xml:space="preserve"> when initiating shared care and clearly state when use is off-label.</w:t>
            </w:r>
          </w:p>
          <w:p w14:paraId="7039FDE5" w14:textId="77777777" w:rsidR="008D5964" w:rsidRPr="00924775" w:rsidRDefault="008D5964" w:rsidP="000D2A07">
            <w:pPr>
              <w:spacing w:after="0" w:line="240" w:lineRule="auto"/>
              <w:rPr>
                <w:rFonts w:cs="Arial"/>
                <w:color w:val="000000"/>
                <w:sz w:val="22"/>
              </w:rPr>
            </w:pPr>
          </w:p>
          <w:p w14:paraId="45C820ED" w14:textId="77E4665A" w:rsidR="008D5964" w:rsidRPr="002D255E" w:rsidRDefault="008D5964" w:rsidP="000D2A07">
            <w:pPr>
              <w:spacing w:after="120" w:line="240" w:lineRule="auto"/>
              <w:rPr>
                <w:rFonts w:eastAsia="Times New Roman"/>
                <w:lang w:eastAsia="en-GB"/>
              </w:rPr>
            </w:pPr>
            <w:r w:rsidRPr="00924775">
              <w:rPr>
                <w:color w:val="000000"/>
                <w:sz w:val="22"/>
              </w:rPr>
              <w:t xml:space="preserve">This shared care </w:t>
            </w:r>
            <w:r w:rsidR="000D2A07" w:rsidRPr="00924775">
              <w:rPr>
                <w:color w:val="000000"/>
                <w:sz w:val="22"/>
              </w:rPr>
              <w:t>guideline</w:t>
            </w:r>
            <w:r w:rsidRPr="00924775">
              <w:rPr>
                <w:color w:val="000000"/>
                <w:sz w:val="22"/>
              </w:rPr>
              <w:t xml:space="preserve"> applies to adults aged 18 and over</w:t>
            </w:r>
            <w:r w:rsidR="000D2A07" w:rsidRPr="00924775">
              <w:rPr>
                <w:color w:val="000000"/>
                <w:sz w:val="22"/>
              </w:rPr>
              <w:t xml:space="preserve"> </w:t>
            </w:r>
            <w:r w:rsidR="000D2A07" w:rsidRPr="00924775">
              <w:rPr>
                <w:i/>
                <w:iCs/>
                <w:color w:val="FF0000"/>
                <w:sz w:val="22"/>
              </w:rPr>
              <w:t>(amend if applicable to the individual guideline)</w:t>
            </w:r>
            <w:r w:rsidRPr="00924775">
              <w:rPr>
                <w:i/>
                <w:iCs/>
                <w:color w:val="FF0000"/>
                <w:sz w:val="22"/>
              </w:rPr>
              <w:t>.</w:t>
            </w:r>
            <w:r w:rsidRPr="000D2A07">
              <w:rPr>
                <w:i/>
                <w:iCs/>
                <w:color w:val="FF0000"/>
                <w:sz w:val="22"/>
                <w:szCs w:val="20"/>
              </w:rPr>
              <w:t xml:space="preserve"> </w:t>
            </w:r>
          </w:p>
        </w:tc>
      </w:tr>
      <w:tr w:rsidR="008D5964" w:rsidRPr="002D255E" w14:paraId="6AC5F0BC" w14:textId="77777777" w:rsidTr="7234176C">
        <w:trPr>
          <w:jc w:val="center"/>
        </w:trPr>
        <w:tc>
          <w:tcPr>
            <w:tcW w:w="10455" w:type="dxa"/>
            <w:gridSpan w:val="3"/>
            <w:tcBorders>
              <w:bottom w:val="nil"/>
            </w:tcBorders>
            <w:shd w:val="clear" w:color="auto" w:fill="F2F2F2" w:themeFill="background1" w:themeFillShade="F2"/>
          </w:tcPr>
          <w:p w14:paraId="6F226D77" w14:textId="705423E2" w:rsidR="008D5964" w:rsidRPr="002D255E" w:rsidRDefault="008D5964" w:rsidP="3E8270F0">
            <w:pPr>
              <w:pStyle w:val="Heading1"/>
              <w:tabs>
                <w:tab w:val="right" w:pos="10240"/>
              </w:tabs>
              <w:spacing w:after="0"/>
              <w:rPr>
                <w:lang w:eastAsia="en-GB"/>
              </w:rPr>
            </w:pPr>
            <w:bookmarkStart w:id="3" w:name="Three_Cx_and_cautions"/>
            <w:bookmarkEnd w:id="3"/>
            <w:r w:rsidRPr="002D255E">
              <w:rPr>
                <w:lang w:eastAsia="en-GB"/>
              </w:rPr>
              <w:t>Contraindications and cautions</w:t>
            </w:r>
            <w:r w:rsidRPr="002D255E">
              <w:tab/>
            </w:r>
            <w:hyperlink w:anchor="Responsibilities">
              <w:r w:rsidRPr="002D255E">
                <w:rPr>
                  <w:rStyle w:val="Hyperlink"/>
                  <w:rFonts w:eastAsia="Times New Roman" w:cs="Arial"/>
                  <w:b w:val="0"/>
                  <w:bCs w:val="0"/>
                  <w:sz w:val="24"/>
                  <w:szCs w:val="24"/>
                  <w:lang w:eastAsia="en-GB"/>
                </w:rPr>
                <w:t>Back to top</w:t>
              </w:r>
            </w:hyperlink>
          </w:p>
          <w:p w14:paraId="7CBFF278" w14:textId="2BF6487F" w:rsidR="008D5964" w:rsidRPr="002D255E" w:rsidRDefault="3E8270F0" w:rsidP="00166E03">
            <w:pPr>
              <w:spacing w:after="120" w:line="240" w:lineRule="auto"/>
              <w:rPr>
                <w:rFonts w:eastAsia="Arial" w:cs="Arial"/>
                <w:color w:val="000000" w:themeColor="text1"/>
                <w:sz w:val="22"/>
              </w:rPr>
            </w:pPr>
            <w:r w:rsidRPr="002D255E">
              <w:rPr>
                <w:rFonts w:eastAsia="Arial" w:cs="Arial"/>
                <w:color w:val="000000" w:themeColor="text1"/>
                <w:sz w:val="22"/>
              </w:rPr>
              <w:t>This information does not replace the Summary of Product Characteristics (</w:t>
            </w:r>
            <w:r w:rsidRPr="002D255E">
              <w:rPr>
                <w:rFonts w:eastAsia="Arial" w:cs="Arial"/>
                <w:sz w:val="22"/>
              </w:rPr>
              <w:t>SPC</w:t>
            </w:r>
            <w:r w:rsidR="00827A40" w:rsidRPr="002D255E">
              <w:rPr>
                <w:rFonts w:eastAsia="Arial" w:cs="Arial"/>
                <w:sz w:val="22"/>
              </w:rPr>
              <w:t>) and</w:t>
            </w:r>
            <w:r w:rsidRPr="002D255E">
              <w:rPr>
                <w:rFonts w:eastAsia="Arial" w:cs="Arial"/>
                <w:sz w:val="22"/>
              </w:rPr>
              <w:t xml:space="preserve"> should be read in conjunction with it. Please see </w:t>
            </w:r>
            <w:hyperlink r:id="rId21" w:history="1">
              <w:proofErr w:type="spellStart"/>
              <w:r w:rsidR="00F34FCB" w:rsidRPr="00716B7A">
                <w:rPr>
                  <w:rStyle w:val="Hyperlink"/>
                  <w:rFonts w:eastAsia="Arial" w:cs="Arial"/>
                  <w:sz w:val="22"/>
                </w:rPr>
                <w:t>e</w:t>
              </w:r>
              <w:r w:rsidRPr="00716B7A">
                <w:rPr>
                  <w:rStyle w:val="Hyperlink"/>
                  <w:rFonts w:eastAsia="Arial" w:cs="Arial"/>
                  <w:sz w:val="22"/>
                </w:rPr>
                <w:t>BNF</w:t>
              </w:r>
              <w:proofErr w:type="spellEnd"/>
            </w:hyperlink>
            <w:r w:rsidRPr="002D255E">
              <w:rPr>
                <w:rFonts w:eastAsia="Arial" w:cs="Arial"/>
                <w:color w:val="000000" w:themeColor="text1"/>
                <w:sz w:val="22"/>
              </w:rPr>
              <w:t xml:space="preserve"> &amp; </w:t>
            </w:r>
            <w:hyperlink r:id="rId22">
              <w:r w:rsidRPr="002D255E">
                <w:rPr>
                  <w:rStyle w:val="Hyperlink"/>
                  <w:rFonts w:eastAsia="Arial" w:cs="Arial"/>
                  <w:sz w:val="22"/>
                </w:rPr>
                <w:t>S</w:t>
              </w:r>
              <w:r w:rsidR="00F34FCB">
                <w:rPr>
                  <w:rStyle w:val="Hyperlink"/>
                  <w:rFonts w:eastAsia="Arial" w:cs="Arial"/>
                  <w:sz w:val="22"/>
                </w:rPr>
                <w:t>m</w:t>
              </w:r>
              <w:r w:rsidRPr="002D255E">
                <w:rPr>
                  <w:rStyle w:val="Hyperlink"/>
                  <w:rFonts w:eastAsia="Arial" w:cs="Arial"/>
                  <w:sz w:val="22"/>
                </w:rPr>
                <w:t>PC</w:t>
              </w:r>
            </w:hyperlink>
            <w:r w:rsidRPr="002D255E">
              <w:rPr>
                <w:rFonts w:eastAsia="Arial" w:cs="Arial"/>
                <w:color w:val="000000" w:themeColor="text1"/>
                <w:sz w:val="22"/>
              </w:rPr>
              <w:t xml:space="preserve">  f</w:t>
            </w:r>
            <w:r w:rsidRPr="002D255E">
              <w:rPr>
                <w:rFonts w:eastAsia="Arial" w:cs="Arial"/>
                <w:sz w:val="22"/>
              </w:rPr>
              <w:t>or comprehensive information.</w:t>
            </w:r>
          </w:p>
        </w:tc>
      </w:tr>
      <w:tr w:rsidR="008D5964" w:rsidRPr="002D255E" w14:paraId="15455F3C" w14:textId="77777777" w:rsidTr="7234176C">
        <w:trPr>
          <w:jc w:val="center"/>
        </w:trPr>
        <w:tc>
          <w:tcPr>
            <w:tcW w:w="10455" w:type="dxa"/>
            <w:gridSpan w:val="3"/>
            <w:tcBorders>
              <w:top w:val="nil"/>
              <w:bottom w:val="single" w:sz="4" w:space="0" w:color="auto"/>
            </w:tcBorders>
            <w:shd w:val="clear" w:color="auto" w:fill="auto"/>
          </w:tcPr>
          <w:p w14:paraId="5E9F1519" w14:textId="72D2120C" w:rsidR="008D5964" w:rsidRPr="00924775" w:rsidRDefault="008D5964" w:rsidP="008D5964">
            <w:pPr>
              <w:autoSpaceDE w:val="0"/>
              <w:autoSpaceDN w:val="0"/>
              <w:adjustRightInd w:val="0"/>
              <w:spacing w:before="60" w:after="60"/>
              <w:rPr>
                <w:rFonts w:eastAsia="Times New Roman" w:cs="Arial"/>
                <w:b/>
                <w:color w:val="000000"/>
                <w:sz w:val="22"/>
                <w:lang w:eastAsia="en-GB"/>
              </w:rPr>
            </w:pPr>
            <w:r w:rsidRPr="00924775">
              <w:rPr>
                <w:rFonts w:eastAsia="Times New Roman" w:cs="Arial"/>
                <w:b/>
                <w:color w:val="000000"/>
                <w:sz w:val="22"/>
                <w:lang w:eastAsia="en-GB"/>
              </w:rPr>
              <w:t>Contraindications:</w:t>
            </w:r>
          </w:p>
          <w:p w14:paraId="6FEFF2A6" w14:textId="43DD9DCA" w:rsidR="00827A40" w:rsidRPr="00924775" w:rsidRDefault="00827A40" w:rsidP="00827A40">
            <w:pPr>
              <w:pStyle w:val="ListParagraph"/>
              <w:numPr>
                <w:ilvl w:val="0"/>
                <w:numId w:val="4"/>
              </w:numPr>
              <w:autoSpaceDE w:val="0"/>
              <w:autoSpaceDN w:val="0"/>
              <w:adjustRightInd w:val="0"/>
              <w:spacing w:before="60" w:after="60"/>
              <w:rPr>
                <w:color w:val="FF0000"/>
                <w:sz w:val="22"/>
                <w:lang w:eastAsia="en-GB"/>
              </w:rPr>
            </w:pPr>
            <w:r w:rsidRPr="00924775">
              <w:rPr>
                <w:color w:val="FF0000"/>
                <w:sz w:val="22"/>
              </w:rPr>
              <w:t>State any relevant contraindications</w:t>
            </w:r>
          </w:p>
          <w:p w14:paraId="34C61D62" w14:textId="77777777" w:rsidR="00827A40" w:rsidRPr="00924775" w:rsidRDefault="00827A40" w:rsidP="00827A40">
            <w:pPr>
              <w:pStyle w:val="ListParagraph"/>
              <w:numPr>
                <w:ilvl w:val="0"/>
                <w:numId w:val="4"/>
              </w:numPr>
              <w:autoSpaceDE w:val="0"/>
              <w:autoSpaceDN w:val="0"/>
              <w:adjustRightInd w:val="0"/>
              <w:spacing w:before="60" w:after="60"/>
              <w:rPr>
                <w:sz w:val="22"/>
                <w:lang w:eastAsia="en-GB"/>
              </w:rPr>
            </w:pPr>
          </w:p>
          <w:p w14:paraId="6AD03511" w14:textId="77777777" w:rsidR="00827A40" w:rsidRPr="00924775" w:rsidRDefault="00827A40" w:rsidP="00827A40">
            <w:pPr>
              <w:autoSpaceDE w:val="0"/>
              <w:autoSpaceDN w:val="0"/>
              <w:adjustRightInd w:val="0"/>
              <w:spacing w:before="60" w:after="60"/>
              <w:rPr>
                <w:sz w:val="22"/>
                <w:lang w:eastAsia="en-GB"/>
              </w:rPr>
            </w:pPr>
          </w:p>
          <w:p w14:paraId="68242BA9" w14:textId="77777777" w:rsidR="00827A40" w:rsidRPr="00924775" w:rsidRDefault="00827A40" w:rsidP="00827A40">
            <w:pPr>
              <w:autoSpaceDE w:val="0"/>
              <w:autoSpaceDN w:val="0"/>
              <w:adjustRightInd w:val="0"/>
              <w:spacing w:before="60" w:after="60"/>
              <w:rPr>
                <w:sz w:val="22"/>
                <w:lang w:eastAsia="en-GB"/>
              </w:rPr>
            </w:pPr>
          </w:p>
          <w:p w14:paraId="72AD7C4A" w14:textId="2F691173" w:rsidR="008D5964" w:rsidRPr="00924775" w:rsidRDefault="008D5964" w:rsidP="008D5964">
            <w:pPr>
              <w:autoSpaceDE w:val="0"/>
              <w:autoSpaceDN w:val="0"/>
              <w:adjustRightInd w:val="0"/>
              <w:spacing w:before="60" w:after="60"/>
              <w:rPr>
                <w:rFonts w:eastAsia="Times New Roman" w:cs="Arial"/>
                <w:b/>
                <w:color w:val="000000"/>
                <w:sz w:val="22"/>
                <w:lang w:eastAsia="en-GB"/>
              </w:rPr>
            </w:pPr>
            <w:r w:rsidRPr="00924775">
              <w:rPr>
                <w:rFonts w:eastAsia="Times New Roman" w:cs="Arial"/>
                <w:b/>
                <w:bCs/>
                <w:iCs/>
                <w:color w:val="000000"/>
                <w:sz w:val="22"/>
                <w:lang w:eastAsia="en-GB"/>
              </w:rPr>
              <w:t>Cautions</w:t>
            </w:r>
            <w:r w:rsidRPr="00924775">
              <w:rPr>
                <w:rFonts w:eastAsia="Times New Roman" w:cs="Arial"/>
                <w:b/>
                <w:color w:val="000000"/>
                <w:sz w:val="22"/>
                <w:lang w:eastAsia="en-GB"/>
              </w:rPr>
              <w:t>:</w:t>
            </w:r>
          </w:p>
          <w:p w14:paraId="2BE65A5C" w14:textId="41BC6B67" w:rsidR="00827A40" w:rsidRPr="00924775" w:rsidRDefault="00827A40" w:rsidP="00827A40">
            <w:pPr>
              <w:pStyle w:val="ListParagraph"/>
              <w:numPr>
                <w:ilvl w:val="0"/>
                <w:numId w:val="4"/>
              </w:numPr>
              <w:autoSpaceDE w:val="0"/>
              <w:autoSpaceDN w:val="0"/>
              <w:adjustRightInd w:val="0"/>
              <w:spacing w:before="60" w:after="60"/>
              <w:rPr>
                <w:color w:val="FF0000"/>
                <w:sz w:val="22"/>
                <w:lang w:eastAsia="en-GB"/>
              </w:rPr>
            </w:pPr>
            <w:r w:rsidRPr="00924775">
              <w:rPr>
                <w:color w:val="FF0000"/>
                <w:sz w:val="22"/>
              </w:rPr>
              <w:t>State any relevant cautions</w:t>
            </w:r>
          </w:p>
          <w:p w14:paraId="42E98FFB" w14:textId="26BE17DD" w:rsidR="008D5964" w:rsidRPr="002D255E" w:rsidRDefault="008D5964" w:rsidP="00827A40">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p>
        </w:tc>
      </w:tr>
      <w:tr w:rsidR="008D5964" w:rsidRPr="002D255E" w14:paraId="36F2D6DF" w14:textId="77777777" w:rsidTr="7234176C">
        <w:trPr>
          <w:jc w:val="center"/>
        </w:trPr>
        <w:tc>
          <w:tcPr>
            <w:tcW w:w="10455" w:type="dxa"/>
            <w:gridSpan w:val="3"/>
            <w:tcBorders>
              <w:bottom w:val="nil"/>
            </w:tcBorders>
            <w:shd w:val="clear" w:color="auto" w:fill="F2F2F2" w:themeFill="background1" w:themeFillShade="F2"/>
          </w:tcPr>
          <w:p w14:paraId="3A956B78" w14:textId="2E5A4A81" w:rsidR="008D5964" w:rsidRPr="002D255E" w:rsidRDefault="008D5964" w:rsidP="008D5964">
            <w:pPr>
              <w:pStyle w:val="Heading1"/>
              <w:tabs>
                <w:tab w:val="right" w:pos="10240"/>
              </w:tabs>
              <w:rPr>
                <w:lang w:eastAsia="en-GB"/>
              </w:rPr>
            </w:pPr>
            <w:bookmarkStart w:id="4" w:name="Four_dosing"/>
            <w:bookmarkEnd w:id="4"/>
            <w:r w:rsidRPr="002D255E">
              <w:rPr>
                <w:lang w:eastAsia="en-GB"/>
              </w:rPr>
              <w:t>Initiation and ongoing dose regimen</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378951C1" w14:textId="0A536B59" w:rsidR="008D5964" w:rsidRPr="00924775" w:rsidRDefault="008D5964" w:rsidP="00166E03">
            <w:pPr>
              <w:pStyle w:val="ListParagraph"/>
              <w:numPr>
                <w:ilvl w:val="0"/>
                <w:numId w:val="4"/>
              </w:numPr>
              <w:spacing w:after="0" w:line="240" w:lineRule="auto"/>
              <w:ind w:left="357" w:hanging="357"/>
              <w:rPr>
                <w:rFonts w:eastAsia="Times New Roman" w:cstheme="minorHAnsi"/>
                <w:sz w:val="22"/>
                <w:lang w:eastAsia="en-GB"/>
              </w:rPr>
            </w:pPr>
            <w:r w:rsidRPr="00924775">
              <w:rPr>
                <w:rFonts w:eastAsia="Times New Roman" w:cstheme="minorHAnsi"/>
                <w:sz w:val="22"/>
                <w:lang w:eastAsia="en-GB"/>
              </w:rPr>
              <w:t xml:space="preserve">Transfer of monitoring and prescribing to primary care is normally after the patient has been treated for </w:t>
            </w:r>
            <w:r w:rsidR="00166E03">
              <w:rPr>
                <w:rFonts w:eastAsia="Times New Roman" w:cstheme="minorHAnsi"/>
                <w:sz w:val="22"/>
                <w:lang w:eastAsia="en-GB"/>
              </w:rPr>
              <w:t xml:space="preserve">at least </w:t>
            </w:r>
            <w:r w:rsidRPr="00924775">
              <w:rPr>
                <w:rFonts w:eastAsia="Times New Roman" w:cstheme="minorHAnsi"/>
                <w:sz w:val="22"/>
                <w:lang w:eastAsia="en-GB"/>
              </w:rPr>
              <w:t>3 months</w:t>
            </w:r>
            <w:r w:rsidR="00C26508">
              <w:rPr>
                <w:rFonts w:eastAsia="Times New Roman" w:cstheme="minorHAnsi"/>
                <w:sz w:val="22"/>
                <w:lang w:eastAsia="en-GB"/>
              </w:rPr>
              <w:t xml:space="preserve"> and is considered stable</w:t>
            </w:r>
            <w:r w:rsidRPr="00924775">
              <w:rPr>
                <w:rFonts w:eastAsia="Times New Roman" w:cstheme="minorHAnsi"/>
                <w:sz w:val="22"/>
                <w:lang w:eastAsia="en-GB"/>
              </w:rPr>
              <w:t>, the dose has been optimised, with satisfactory investigation results for at least 4 weeks</w:t>
            </w:r>
          </w:p>
          <w:p w14:paraId="2A123C52" w14:textId="77777777" w:rsidR="008D5964" w:rsidRPr="00924775" w:rsidRDefault="008D5964" w:rsidP="00166E03">
            <w:pPr>
              <w:pStyle w:val="ListParagraph"/>
              <w:numPr>
                <w:ilvl w:val="0"/>
                <w:numId w:val="4"/>
              </w:numPr>
              <w:spacing w:after="0" w:line="240" w:lineRule="auto"/>
              <w:ind w:left="357" w:hanging="357"/>
              <w:rPr>
                <w:rFonts w:eastAsia="Times New Roman" w:cstheme="minorHAnsi"/>
                <w:sz w:val="22"/>
                <w:lang w:eastAsia="en-GB"/>
              </w:rPr>
            </w:pPr>
            <w:r w:rsidRPr="00924775">
              <w:rPr>
                <w:rFonts w:eastAsia="Times New Roman" w:cstheme="minorHAnsi"/>
                <w:sz w:val="22"/>
                <w:lang w:eastAsia="en-GB"/>
              </w:rPr>
              <w:t>The duration of treatment &amp; frequency of review will be determined by the specialist, based on clinical response and tolerability.</w:t>
            </w:r>
          </w:p>
          <w:p w14:paraId="18A0DC26" w14:textId="77777777" w:rsidR="008D5964" w:rsidRPr="00924775" w:rsidRDefault="008D5964" w:rsidP="00166E03">
            <w:pPr>
              <w:pStyle w:val="ListParagraph"/>
              <w:numPr>
                <w:ilvl w:val="0"/>
                <w:numId w:val="4"/>
              </w:numPr>
              <w:spacing w:after="0" w:line="240" w:lineRule="auto"/>
              <w:ind w:left="357" w:hanging="357"/>
              <w:rPr>
                <w:rFonts w:eastAsia="Times New Roman" w:cstheme="minorHAnsi"/>
                <w:sz w:val="22"/>
                <w:lang w:eastAsia="en-GB"/>
              </w:rPr>
            </w:pPr>
            <w:r w:rsidRPr="00924775">
              <w:rPr>
                <w:rFonts w:eastAsia="Times New Roman" w:cstheme="minorHAnsi"/>
                <w:sz w:val="22"/>
                <w:lang w:eastAsia="en-GB"/>
              </w:rPr>
              <w:t>All dose or formulation adjustments will be the responsibility of the initiating specialist unless directions have been discussed and agreed with the primary care clinician</w:t>
            </w:r>
          </w:p>
          <w:p w14:paraId="3F3031CA" w14:textId="6E2A66C8" w:rsidR="008D5964" w:rsidRPr="002D255E" w:rsidRDefault="008D5964" w:rsidP="00166E03">
            <w:pPr>
              <w:pStyle w:val="ListParagraph"/>
              <w:numPr>
                <w:ilvl w:val="0"/>
                <w:numId w:val="4"/>
              </w:numPr>
              <w:spacing w:after="0" w:line="240" w:lineRule="auto"/>
              <w:ind w:left="357" w:hanging="357"/>
              <w:rPr>
                <w:rFonts w:eastAsia="Times New Roman" w:cs="Arial"/>
                <w:iCs/>
                <w:color w:val="000000"/>
              </w:rPr>
            </w:pPr>
            <w:r w:rsidRPr="00924775">
              <w:rPr>
                <w:rFonts w:eastAsia="Times New Roman" w:cstheme="minorHAnsi"/>
                <w:sz w:val="22"/>
                <w:lang w:eastAsia="en-GB"/>
              </w:rPr>
              <w:t>Termination of treatment will be</w:t>
            </w:r>
            <w:r w:rsidRPr="00924775">
              <w:rPr>
                <w:rFonts w:eastAsia="Times New Roman" w:cstheme="minorHAnsi"/>
                <w:b/>
                <w:sz w:val="22"/>
                <w:lang w:eastAsia="en-GB"/>
              </w:rPr>
              <w:t xml:space="preserve"> </w:t>
            </w:r>
            <w:r w:rsidRPr="00924775">
              <w:rPr>
                <w:rFonts w:eastAsia="Times New Roman" w:cstheme="minorHAnsi"/>
                <w:sz w:val="22"/>
                <w:lang w:eastAsia="en-GB"/>
              </w:rPr>
              <w:t>the responsibility of the specialist.</w:t>
            </w:r>
          </w:p>
        </w:tc>
      </w:tr>
      <w:tr w:rsidR="008D5964" w:rsidRPr="002D255E" w14:paraId="05FF7F42" w14:textId="77777777" w:rsidTr="7234176C">
        <w:trPr>
          <w:jc w:val="center"/>
        </w:trPr>
        <w:tc>
          <w:tcPr>
            <w:tcW w:w="10455" w:type="dxa"/>
            <w:gridSpan w:val="3"/>
            <w:tcBorders>
              <w:top w:val="nil"/>
            </w:tcBorders>
            <w:shd w:val="clear" w:color="auto" w:fill="auto"/>
          </w:tcPr>
          <w:p w14:paraId="7B5E2CCE" w14:textId="77777777" w:rsidR="008D5964" w:rsidRPr="00924775" w:rsidRDefault="008D5964" w:rsidP="008D5964">
            <w:pPr>
              <w:spacing w:before="60" w:after="60"/>
              <w:rPr>
                <w:rFonts w:eastAsia="Times New Roman" w:cs="Arial"/>
                <w:b/>
                <w:iCs/>
                <w:color w:val="000000"/>
                <w:sz w:val="22"/>
                <w:u w:val="single"/>
              </w:rPr>
            </w:pPr>
            <w:r w:rsidRPr="00924775">
              <w:rPr>
                <w:rFonts w:eastAsia="Times New Roman" w:cs="Arial"/>
                <w:b/>
                <w:iCs/>
                <w:color w:val="000000"/>
                <w:sz w:val="22"/>
                <w:u w:val="single"/>
              </w:rPr>
              <w:t>Initial stabilisation:</w:t>
            </w:r>
          </w:p>
          <w:p w14:paraId="7C9E9B16" w14:textId="2D8410D7" w:rsidR="008D5964" w:rsidRPr="00924775" w:rsidRDefault="008D5964" w:rsidP="008D5964">
            <w:pPr>
              <w:spacing w:before="60" w:after="60" w:line="240" w:lineRule="auto"/>
              <w:rPr>
                <w:rFonts w:eastAsia="Times New Roman" w:cs="Arial"/>
                <w:iCs/>
                <w:color w:val="000000"/>
                <w:sz w:val="22"/>
                <w:szCs w:val="20"/>
              </w:rPr>
            </w:pPr>
            <w:r w:rsidRPr="00924775">
              <w:rPr>
                <w:rFonts w:eastAsia="Times New Roman" w:cs="Arial"/>
                <w:b/>
                <w:iCs/>
                <w:color w:val="000000"/>
                <w:sz w:val="22"/>
                <w:szCs w:val="20"/>
              </w:rPr>
              <w:t xml:space="preserve">The </w:t>
            </w:r>
            <w:r w:rsidR="00F03D82" w:rsidRPr="00924775">
              <w:rPr>
                <w:rFonts w:eastAsia="Times New Roman" w:cs="Arial"/>
                <w:b/>
                <w:iCs/>
                <w:color w:val="000000"/>
                <w:sz w:val="22"/>
                <w:szCs w:val="20"/>
              </w:rPr>
              <w:t>initial stabilisation</w:t>
            </w:r>
            <w:r w:rsidRPr="00924775">
              <w:rPr>
                <w:rFonts w:eastAsia="Times New Roman" w:cs="Arial"/>
                <w:b/>
                <w:iCs/>
                <w:color w:val="000000"/>
                <w:sz w:val="22"/>
                <w:szCs w:val="20"/>
              </w:rPr>
              <w:t xml:space="preserve"> period</w:t>
            </w:r>
            <w:r w:rsidRPr="00924775">
              <w:rPr>
                <w:rFonts w:eastAsia="Times New Roman" w:cs="Arial"/>
                <w:iCs/>
                <w:color w:val="000000"/>
                <w:sz w:val="22"/>
                <w:szCs w:val="20"/>
              </w:rPr>
              <w:t xml:space="preserve"> </w:t>
            </w:r>
            <w:r w:rsidRPr="00924775">
              <w:rPr>
                <w:rFonts w:eastAsia="Times New Roman" w:cs="Arial"/>
                <w:b/>
                <w:iCs/>
                <w:sz w:val="22"/>
                <w:szCs w:val="20"/>
              </w:rPr>
              <w:t>must be prescribed by the initiating specialist.</w:t>
            </w:r>
          </w:p>
          <w:p w14:paraId="1E1E2ED8" w14:textId="395D6D8A" w:rsidR="008D5964" w:rsidRPr="0035480B" w:rsidRDefault="0035480B" w:rsidP="008D5964">
            <w:pPr>
              <w:spacing w:before="60" w:after="60" w:line="240" w:lineRule="auto"/>
              <w:rPr>
                <w:rFonts w:eastAsia="Times New Roman" w:cs="Arial"/>
                <w:iCs/>
                <w:color w:val="FF0000"/>
                <w:sz w:val="22"/>
                <w:szCs w:val="20"/>
              </w:rPr>
            </w:pPr>
            <w:r w:rsidRPr="0035480B">
              <w:rPr>
                <w:rFonts w:eastAsia="Times New Roman" w:cs="Arial"/>
                <w:iCs/>
                <w:color w:val="FF0000"/>
                <w:sz w:val="22"/>
                <w:szCs w:val="20"/>
              </w:rPr>
              <w:t>Enter details of initiation regime applicable to the included indication(s)</w:t>
            </w:r>
          </w:p>
          <w:p w14:paraId="1C3199E4" w14:textId="77777777" w:rsidR="00827A40" w:rsidRPr="00924775" w:rsidRDefault="00827A40" w:rsidP="008D5964">
            <w:pPr>
              <w:spacing w:before="60" w:after="60" w:line="240" w:lineRule="auto"/>
              <w:rPr>
                <w:rFonts w:eastAsia="Times New Roman" w:cs="Arial"/>
                <w:iCs/>
                <w:color w:val="000000"/>
                <w:sz w:val="22"/>
                <w:szCs w:val="20"/>
              </w:rPr>
            </w:pPr>
          </w:p>
          <w:p w14:paraId="6BB09C3E" w14:textId="77777777" w:rsidR="008D5964" w:rsidRPr="00924775" w:rsidRDefault="008D5964" w:rsidP="008D5964">
            <w:pPr>
              <w:spacing w:before="60" w:after="60"/>
              <w:rPr>
                <w:rFonts w:eastAsia="Times New Roman" w:cs="Arial"/>
                <w:iCs/>
                <w:color w:val="000000"/>
                <w:sz w:val="22"/>
              </w:rPr>
            </w:pPr>
            <w:r w:rsidRPr="00924775">
              <w:rPr>
                <w:rFonts w:eastAsia="Times New Roman" w:cs="Arial"/>
                <w:b/>
                <w:iCs/>
                <w:color w:val="000000"/>
                <w:sz w:val="22"/>
                <w:u w:val="single"/>
              </w:rPr>
              <w:lastRenderedPageBreak/>
              <w:t>Maintenance dose (following initial stabilisation):</w:t>
            </w:r>
          </w:p>
          <w:p w14:paraId="71774FA9" w14:textId="77777777" w:rsidR="008D5964" w:rsidRPr="00924775" w:rsidRDefault="008D5964" w:rsidP="008D5964">
            <w:pPr>
              <w:spacing w:before="60" w:after="60" w:line="240" w:lineRule="auto"/>
              <w:rPr>
                <w:rFonts w:eastAsia="Times New Roman" w:cstheme="minorHAnsi"/>
                <w:b/>
                <w:iCs/>
                <w:color w:val="000000"/>
                <w:sz w:val="22"/>
                <w:szCs w:val="20"/>
              </w:rPr>
            </w:pPr>
            <w:r w:rsidRPr="00924775">
              <w:rPr>
                <w:rFonts w:eastAsia="Times New Roman" w:cstheme="minorHAnsi"/>
                <w:b/>
                <w:iCs/>
                <w:color w:val="000000"/>
                <w:sz w:val="22"/>
                <w:szCs w:val="20"/>
              </w:rPr>
              <w:t>The initial maintenance dose must be prescribed by the initiating specialist.</w:t>
            </w:r>
          </w:p>
          <w:p w14:paraId="488B0040" w14:textId="75A2AB01" w:rsidR="008D5964" w:rsidRPr="00924775" w:rsidRDefault="008D5964" w:rsidP="008D5964">
            <w:pPr>
              <w:spacing w:before="60" w:after="60" w:line="240" w:lineRule="auto"/>
              <w:rPr>
                <w:rFonts w:cs="Arial"/>
                <w:sz w:val="22"/>
                <w:szCs w:val="20"/>
              </w:rPr>
            </w:pPr>
            <w:r w:rsidRPr="00924775">
              <w:rPr>
                <w:rFonts w:cs="Arial"/>
                <w:sz w:val="22"/>
                <w:szCs w:val="20"/>
              </w:rPr>
              <w:t>Transfer of monitoring and prescribing to primary care is usually after 3 months. The duration of treatment will be determined by the specialist based on clinical response and tolerability.</w:t>
            </w:r>
          </w:p>
          <w:p w14:paraId="489BB33F" w14:textId="77777777" w:rsidR="00E0264C" w:rsidRPr="00924775" w:rsidRDefault="00E0264C" w:rsidP="008D5964">
            <w:pPr>
              <w:spacing w:before="60" w:after="60" w:line="240" w:lineRule="auto"/>
              <w:rPr>
                <w:rFonts w:cs="Arial"/>
                <w:sz w:val="22"/>
                <w:szCs w:val="20"/>
              </w:rPr>
            </w:pPr>
          </w:p>
          <w:p w14:paraId="438238A9" w14:textId="68ACBD6A" w:rsidR="0035480B" w:rsidRPr="0035480B" w:rsidRDefault="0035480B" w:rsidP="0035480B">
            <w:pPr>
              <w:spacing w:before="60" w:after="60" w:line="240" w:lineRule="auto"/>
              <w:rPr>
                <w:rFonts w:eastAsia="Times New Roman" w:cs="Arial"/>
                <w:iCs/>
                <w:color w:val="FF0000"/>
                <w:sz w:val="22"/>
                <w:szCs w:val="20"/>
              </w:rPr>
            </w:pPr>
            <w:r w:rsidRPr="0035480B">
              <w:rPr>
                <w:rFonts w:eastAsia="Times New Roman" w:cs="Arial"/>
                <w:iCs/>
                <w:color w:val="FF0000"/>
                <w:sz w:val="22"/>
                <w:szCs w:val="20"/>
              </w:rPr>
              <w:t xml:space="preserve">Enter details of </w:t>
            </w:r>
            <w:r>
              <w:rPr>
                <w:rFonts w:eastAsia="Times New Roman" w:cs="Arial"/>
                <w:iCs/>
                <w:color w:val="FF0000"/>
                <w:sz w:val="22"/>
                <w:szCs w:val="20"/>
              </w:rPr>
              <w:t xml:space="preserve">maintenance </w:t>
            </w:r>
            <w:r w:rsidRPr="0035480B">
              <w:rPr>
                <w:rFonts w:eastAsia="Times New Roman" w:cs="Arial"/>
                <w:iCs/>
                <w:color w:val="FF0000"/>
                <w:sz w:val="22"/>
                <w:szCs w:val="20"/>
              </w:rPr>
              <w:t>regime applicable to the included indication(s)</w:t>
            </w:r>
          </w:p>
          <w:p w14:paraId="42FD65BE" w14:textId="77777777" w:rsidR="00E0264C" w:rsidRPr="00924775" w:rsidRDefault="00E0264C" w:rsidP="008D5964">
            <w:pPr>
              <w:spacing w:before="60" w:after="60" w:line="240" w:lineRule="auto"/>
              <w:rPr>
                <w:rFonts w:cs="Arial"/>
                <w:sz w:val="22"/>
                <w:szCs w:val="20"/>
              </w:rPr>
            </w:pPr>
          </w:p>
          <w:p w14:paraId="2423F879" w14:textId="77777777" w:rsidR="00E0264C" w:rsidRPr="00924775" w:rsidRDefault="00E0264C" w:rsidP="008D5964">
            <w:pPr>
              <w:spacing w:before="60" w:after="60" w:line="240" w:lineRule="auto"/>
              <w:rPr>
                <w:rFonts w:eastAsia="Times New Roman" w:cs="Arial"/>
                <w:b/>
                <w:iCs/>
                <w:color w:val="000000"/>
                <w:sz w:val="22"/>
                <w:szCs w:val="20"/>
              </w:rPr>
            </w:pPr>
          </w:p>
          <w:p w14:paraId="7C873228" w14:textId="77777777" w:rsidR="008D5964" w:rsidRPr="00924775" w:rsidRDefault="008D5964" w:rsidP="008D5964">
            <w:pPr>
              <w:spacing w:before="60" w:after="60" w:line="240" w:lineRule="auto"/>
              <w:rPr>
                <w:rFonts w:eastAsia="Times New Roman" w:cstheme="minorHAnsi"/>
                <w:b/>
                <w:iCs/>
                <w:color w:val="000000"/>
                <w:sz w:val="22"/>
                <w:szCs w:val="20"/>
              </w:rPr>
            </w:pPr>
          </w:p>
          <w:p w14:paraId="179581A7" w14:textId="77777777" w:rsidR="008D5964" w:rsidRPr="00924775" w:rsidRDefault="008D5964" w:rsidP="008D5964">
            <w:pPr>
              <w:spacing w:before="60" w:after="60"/>
              <w:rPr>
                <w:rFonts w:eastAsia="Times New Roman" w:cs="Arial"/>
                <w:b/>
                <w:iCs/>
                <w:color w:val="000000"/>
                <w:sz w:val="22"/>
                <w:u w:val="single"/>
              </w:rPr>
            </w:pPr>
            <w:r w:rsidRPr="00924775">
              <w:rPr>
                <w:rFonts w:eastAsia="Times New Roman" w:cs="Arial"/>
                <w:b/>
                <w:iCs/>
                <w:color w:val="000000"/>
                <w:sz w:val="22"/>
                <w:u w:val="single"/>
              </w:rPr>
              <w:t>Conditions requiring dose adjustment:</w:t>
            </w:r>
          </w:p>
          <w:p w14:paraId="0103B33B" w14:textId="53DF50B3" w:rsidR="008D5964" w:rsidRPr="002D255E" w:rsidRDefault="00E0264C" w:rsidP="008D5964">
            <w:pPr>
              <w:pStyle w:val="ListParagraph"/>
              <w:numPr>
                <w:ilvl w:val="0"/>
                <w:numId w:val="24"/>
              </w:numPr>
              <w:rPr>
                <w:b/>
                <w:u w:val="single"/>
              </w:rPr>
            </w:pPr>
            <w:r w:rsidRPr="00924775">
              <w:rPr>
                <w:rFonts w:eastAsia="Times New Roman" w:cstheme="minorHAnsi"/>
                <w:iCs/>
                <w:color w:val="FF0000"/>
                <w:sz w:val="22"/>
                <w:szCs w:val="20"/>
              </w:rPr>
              <w:t xml:space="preserve">e.g. renal impairment, hepatic impairment </w:t>
            </w:r>
            <w:r w:rsidRPr="00924775">
              <w:rPr>
                <w:rFonts w:eastAsia="Times New Roman" w:cstheme="minorHAnsi"/>
                <w:i/>
                <w:color w:val="FF0000"/>
                <w:sz w:val="22"/>
                <w:szCs w:val="20"/>
              </w:rPr>
              <w:t>(delete if not applicable)</w:t>
            </w:r>
            <w:r w:rsidR="008D5964" w:rsidRPr="00924775">
              <w:rPr>
                <w:rFonts w:eastAsia="Times New Roman" w:cstheme="minorHAnsi"/>
                <w:iCs/>
                <w:color w:val="FF0000"/>
                <w:sz w:val="22"/>
                <w:szCs w:val="20"/>
              </w:rPr>
              <w:t xml:space="preserve"> </w:t>
            </w:r>
            <w:r w:rsidR="008D5964" w:rsidRPr="00924775">
              <w:rPr>
                <w:color w:val="FF0000"/>
                <w:sz w:val="22"/>
                <w:szCs w:val="20"/>
              </w:rPr>
              <w:t xml:space="preserve"> </w:t>
            </w:r>
          </w:p>
        </w:tc>
      </w:tr>
      <w:tr w:rsidR="008D5964" w:rsidRPr="002D255E" w14:paraId="4CDE4318" w14:textId="77777777" w:rsidTr="7234176C">
        <w:trPr>
          <w:jc w:val="center"/>
        </w:trPr>
        <w:tc>
          <w:tcPr>
            <w:tcW w:w="10455" w:type="dxa"/>
            <w:gridSpan w:val="3"/>
            <w:shd w:val="clear" w:color="auto" w:fill="F2F2F2" w:themeFill="background1" w:themeFillShade="F2"/>
          </w:tcPr>
          <w:p w14:paraId="4C936032" w14:textId="4743B980" w:rsidR="008D5964" w:rsidRPr="002D255E" w:rsidRDefault="008D5964" w:rsidP="008D5964">
            <w:pPr>
              <w:pStyle w:val="Heading1"/>
              <w:tabs>
                <w:tab w:val="right" w:pos="10240"/>
              </w:tabs>
              <w:rPr>
                <w:lang w:eastAsia="en-GB"/>
              </w:rPr>
            </w:pPr>
            <w:bookmarkStart w:id="5" w:name="Five_pharmaceutical"/>
            <w:bookmarkEnd w:id="5"/>
            <w:r w:rsidRPr="002D255E">
              <w:rPr>
                <w:lang w:eastAsia="en-GB"/>
              </w:rPr>
              <w:lastRenderedPageBreak/>
              <w:t xml:space="preserve">Pharmaceutical aspects </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8D5964" w:rsidRPr="002D255E" w14:paraId="24522E4E" w14:textId="77777777" w:rsidTr="00166E03">
        <w:trPr>
          <w:trHeight w:val="753"/>
          <w:jc w:val="center"/>
        </w:trPr>
        <w:tc>
          <w:tcPr>
            <w:tcW w:w="1838" w:type="dxa"/>
            <w:shd w:val="clear" w:color="auto" w:fill="auto"/>
            <w:vAlign w:val="center"/>
          </w:tcPr>
          <w:p w14:paraId="5EA76DFC" w14:textId="2E798548" w:rsidR="008D5964" w:rsidRPr="00924775" w:rsidRDefault="008D5964" w:rsidP="00166E03">
            <w:pPr>
              <w:spacing w:before="120" w:after="120" w:line="240" w:lineRule="auto"/>
              <w:rPr>
                <w:b/>
                <w:bCs/>
                <w:iCs/>
                <w:color w:val="000000"/>
                <w:sz w:val="22"/>
                <w:lang w:eastAsia="en-GB"/>
              </w:rPr>
            </w:pPr>
            <w:r w:rsidRPr="00924775">
              <w:rPr>
                <w:rFonts w:eastAsia="Times New Roman" w:cstheme="minorHAnsi"/>
                <w:sz w:val="22"/>
                <w:lang w:eastAsia="en-GB"/>
              </w:rPr>
              <w:t>Route of administration:</w:t>
            </w:r>
          </w:p>
        </w:tc>
        <w:tc>
          <w:tcPr>
            <w:tcW w:w="8617" w:type="dxa"/>
            <w:gridSpan w:val="2"/>
            <w:shd w:val="clear" w:color="auto" w:fill="auto"/>
          </w:tcPr>
          <w:p w14:paraId="48C763F3" w14:textId="18B797EB" w:rsidR="008D5964" w:rsidRPr="00924775" w:rsidRDefault="008D5964" w:rsidP="008D5964">
            <w:pPr>
              <w:autoSpaceDE w:val="0"/>
              <w:autoSpaceDN w:val="0"/>
              <w:adjustRightInd w:val="0"/>
              <w:spacing w:before="60" w:after="60" w:line="240" w:lineRule="auto"/>
              <w:rPr>
                <w:rFonts w:eastAsia="Times New Roman" w:cs="Arial"/>
                <w:b/>
                <w:bCs/>
                <w:iCs/>
                <w:color w:val="000000"/>
                <w:sz w:val="22"/>
                <w:szCs w:val="20"/>
                <w:lang w:eastAsia="en-GB"/>
              </w:rPr>
            </w:pPr>
          </w:p>
        </w:tc>
      </w:tr>
      <w:tr w:rsidR="008D5964" w:rsidRPr="002D255E" w14:paraId="4CD28C8C" w14:textId="77777777" w:rsidTr="7234176C">
        <w:trPr>
          <w:trHeight w:val="97"/>
          <w:jc w:val="center"/>
        </w:trPr>
        <w:tc>
          <w:tcPr>
            <w:tcW w:w="1838" w:type="dxa"/>
            <w:shd w:val="clear" w:color="auto" w:fill="auto"/>
            <w:vAlign w:val="center"/>
          </w:tcPr>
          <w:p w14:paraId="18421745" w14:textId="3D1C11A6" w:rsidR="008D5964" w:rsidRPr="00924775" w:rsidRDefault="008D5964" w:rsidP="00166E03">
            <w:pPr>
              <w:spacing w:before="120" w:after="120" w:line="240" w:lineRule="auto"/>
              <w:rPr>
                <w:b/>
                <w:bCs/>
                <w:iCs/>
                <w:color w:val="000000"/>
                <w:sz w:val="22"/>
                <w:lang w:eastAsia="en-GB"/>
              </w:rPr>
            </w:pPr>
            <w:r w:rsidRPr="00924775">
              <w:rPr>
                <w:rFonts w:eastAsia="Times New Roman" w:cstheme="minorHAnsi"/>
                <w:sz w:val="22"/>
                <w:lang w:eastAsia="en-GB"/>
              </w:rPr>
              <w:t>Formulation:</w:t>
            </w:r>
          </w:p>
        </w:tc>
        <w:tc>
          <w:tcPr>
            <w:tcW w:w="8617" w:type="dxa"/>
            <w:gridSpan w:val="2"/>
            <w:shd w:val="clear" w:color="auto" w:fill="auto"/>
          </w:tcPr>
          <w:p w14:paraId="1312A1B6" w14:textId="13001227" w:rsidR="008D5964" w:rsidRPr="00924775" w:rsidRDefault="008D5964" w:rsidP="008D5964">
            <w:pPr>
              <w:shd w:val="clear" w:color="auto" w:fill="FFFFFF"/>
              <w:spacing w:after="120"/>
              <w:rPr>
                <w:rFonts w:eastAsia="Times New Roman" w:cs="Arial"/>
                <w:iCs/>
                <w:noProof/>
                <w:color w:val="000000"/>
                <w:sz w:val="22"/>
                <w:szCs w:val="20"/>
                <w:lang w:val="en-US" w:eastAsia="en-GB"/>
              </w:rPr>
            </w:pPr>
            <w:r w:rsidRPr="00924775">
              <w:rPr>
                <w:rFonts w:eastAsia="Times New Roman" w:cstheme="minorHAnsi"/>
                <w:bCs/>
                <w:iCs/>
                <w:color w:val="000000"/>
                <w:sz w:val="22"/>
                <w:szCs w:val="20"/>
                <w:lang w:eastAsia="en-GB"/>
              </w:rPr>
              <w:t xml:space="preserve"> </w:t>
            </w:r>
          </w:p>
        </w:tc>
      </w:tr>
      <w:tr w:rsidR="008D5964" w:rsidRPr="002D255E" w14:paraId="32A1142F" w14:textId="77777777" w:rsidTr="7234176C">
        <w:trPr>
          <w:trHeight w:val="97"/>
          <w:jc w:val="center"/>
        </w:trPr>
        <w:tc>
          <w:tcPr>
            <w:tcW w:w="1838" w:type="dxa"/>
            <w:shd w:val="clear" w:color="auto" w:fill="auto"/>
            <w:vAlign w:val="center"/>
          </w:tcPr>
          <w:p w14:paraId="33657BA5" w14:textId="6D98BB80" w:rsidR="008D5964" w:rsidRPr="00924775" w:rsidRDefault="008D5964" w:rsidP="00166E03">
            <w:pPr>
              <w:spacing w:before="120" w:after="120" w:line="240" w:lineRule="auto"/>
              <w:rPr>
                <w:b/>
                <w:bCs/>
                <w:iCs/>
                <w:color w:val="000000"/>
                <w:sz w:val="22"/>
                <w:lang w:eastAsia="en-GB"/>
              </w:rPr>
            </w:pPr>
            <w:r w:rsidRPr="00924775">
              <w:rPr>
                <w:rFonts w:eastAsia="Times New Roman" w:cstheme="minorHAnsi"/>
                <w:sz w:val="22"/>
                <w:lang w:eastAsia="en-GB"/>
              </w:rPr>
              <w:t>Administration details:</w:t>
            </w:r>
          </w:p>
        </w:tc>
        <w:tc>
          <w:tcPr>
            <w:tcW w:w="8617" w:type="dxa"/>
            <w:gridSpan w:val="2"/>
            <w:shd w:val="clear" w:color="auto" w:fill="auto"/>
          </w:tcPr>
          <w:p w14:paraId="4466B100" w14:textId="04C50DA1" w:rsidR="008D5964" w:rsidRPr="00924775" w:rsidRDefault="008D5964" w:rsidP="008D5964">
            <w:pPr>
              <w:rPr>
                <w:b/>
                <w:bCs/>
                <w:iCs/>
                <w:color w:val="000000"/>
                <w:sz w:val="22"/>
                <w:szCs w:val="20"/>
                <w:lang w:eastAsia="en-GB"/>
              </w:rPr>
            </w:pPr>
          </w:p>
        </w:tc>
      </w:tr>
      <w:tr w:rsidR="008D5964" w:rsidRPr="002D255E" w14:paraId="7AF4C7E7" w14:textId="77777777" w:rsidTr="7234176C">
        <w:trPr>
          <w:trHeight w:val="97"/>
          <w:jc w:val="center"/>
        </w:trPr>
        <w:tc>
          <w:tcPr>
            <w:tcW w:w="1838" w:type="dxa"/>
            <w:tcBorders>
              <w:bottom w:val="single" w:sz="4" w:space="0" w:color="auto"/>
            </w:tcBorders>
            <w:shd w:val="clear" w:color="auto" w:fill="auto"/>
            <w:vAlign w:val="center"/>
          </w:tcPr>
          <w:p w14:paraId="1C2DED5A" w14:textId="00071546" w:rsidR="008D5964" w:rsidRPr="00924775" w:rsidRDefault="008D5964" w:rsidP="00166E03">
            <w:pPr>
              <w:spacing w:before="120" w:after="120" w:line="240" w:lineRule="auto"/>
              <w:rPr>
                <w:b/>
                <w:bCs/>
                <w:iCs/>
                <w:color w:val="000000"/>
                <w:sz w:val="22"/>
                <w:lang w:eastAsia="en-GB"/>
              </w:rPr>
            </w:pPr>
            <w:r w:rsidRPr="00924775">
              <w:rPr>
                <w:rFonts w:eastAsia="Times New Roman" w:cstheme="minorHAnsi"/>
                <w:sz w:val="22"/>
                <w:lang w:eastAsia="en-GB"/>
              </w:rPr>
              <w:t>Other important information:</w:t>
            </w:r>
          </w:p>
        </w:tc>
        <w:tc>
          <w:tcPr>
            <w:tcW w:w="8617" w:type="dxa"/>
            <w:gridSpan w:val="2"/>
            <w:tcBorders>
              <w:bottom w:val="single" w:sz="4" w:space="0" w:color="auto"/>
            </w:tcBorders>
            <w:shd w:val="clear" w:color="auto" w:fill="auto"/>
          </w:tcPr>
          <w:p w14:paraId="689017FA" w14:textId="16A89A74" w:rsidR="008D5964" w:rsidRPr="00924775" w:rsidRDefault="008D5964" w:rsidP="008D5964">
            <w:pPr>
              <w:rPr>
                <w:b/>
                <w:bCs/>
                <w:iCs/>
                <w:color w:val="000000"/>
                <w:sz w:val="22"/>
                <w:szCs w:val="20"/>
                <w:lang w:eastAsia="en-GB"/>
              </w:rPr>
            </w:pPr>
          </w:p>
        </w:tc>
      </w:tr>
      <w:tr w:rsidR="008D5964" w:rsidRPr="002D255E" w14:paraId="43330AD8" w14:textId="77777777" w:rsidTr="7234176C">
        <w:trPr>
          <w:jc w:val="center"/>
        </w:trPr>
        <w:tc>
          <w:tcPr>
            <w:tcW w:w="10455" w:type="dxa"/>
            <w:gridSpan w:val="3"/>
            <w:tcBorders>
              <w:bottom w:val="nil"/>
            </w:tcBorders>
            <w:shd w:val="clear" w:color="auto" w:fill="F2F2F2" w:themeFill="background1" w:themeFillShade="F2"/>
          </w:tcPr>
          <w:p w14:paraId="2293CECB" w14:textId="43830C9A" w:rsidR="008D5964" w:rsidRPr="002D255E" w:rsidRDefault="008D5964" w:rsidP="008D5964">
            <w:pPr>
              <w:pStyle w:val="Heading1"/>
              <w:tabs>
                <w:tab w:val="right" w:pos="10240"/>
              </w:tabs>
              <w:rPr>
                <w:lang w:eastAsia="en-GB"/>
              </w:rPr>
            </w:pPr>
            <w:bookmarkStart w:id="6" w:name="Six_interactions"/>
            <w:bookmarkEnd w:id="6"/>
            <w:r w:rsidRPr="002D255E">
              <w:rPr>
                <w:lang w:eastAsia="en-GB"/>
              </w:rPr>
              <w:t>Significant medicine interactions</w:t>
            </w:r>
            <w:r w:rsidRPr="002D255E">
              <w:tab/>
            </w:r>
            <w:hyperlink w:anchor="Responsibilities">
              <w:r w:rsidRPr="002D255E">
                <w:rPr>
                  <w:rStyle w:val="Hyperlink"/>
                  <w:rFonts w:eastAsia="Times New Roman" w:cs="Arial"/>
                  <w:b w:val="0"/>
                  <w:bCs w:val="0"/>
                  <w:sz w:val="24"/>
                  <w:szCs w:val="24"/>
                  <w:lang w:eastAsia="en-GB"/>
                </w:rPr>
                <w:t>Back to top</w:t>
              </w:r>
            </w:hyperlink>
          </w:p>
          <w:p w14:paraId="561D758A" w14:textId="5F441D63" w:rsidR="008D5964" w:rsidRPr="002D255E" w:rsidRDefault="3E8270F0" w:rsidP="00166E03">
            <w:pPr>
              <w:spacing w:after="120" w:line="257" w:lineRule="auto"/>
            </w:pPr>
            <w:r w:rsidRPr="00924775">
              <w:rPr>
                <w:rFonts w:eastAsia="Arial" w:cs="Arial"/>
                <w:color w:val="000000" w:themeColor="text1"/>
                <w:sz w:val="22"/>
                <w:lang w:val="en-US"/>
              </w:rPr>
              <w:t xml:space="preserve">The following list is not exhaustive. Please see </w:t>
            </w:r>
            <w:hyperlink r:id="rId23" w:history="1">
              <w:proofErr w:type="spellStart"/>
              <w:r w:rsidR="00F34FCB" w:rsidRPr="00716B7A">
                <w:rPr>
                  <w:rStyle w:val="Hyperlink"/>
                  <w:rFonts w:eastAsia="Arial" w:cs="Arial"/>
                  <w:sz w:val="22"/>
                  <w:lang w:val="en-US"/>
                </w:rPr>
                <w:t>e</w:t>
              </w:r>
              <w:r w:rsidRPr="00716B7A">
                <w:rPr>
                  <w:rStyle w:val="Hyperlink"/>
                  <w:rFonts w:eastAsia="Arial" w:cs="Arial"/>
                  <w:sz w:val="22"/>
                  <w:lang w:val="en-US"/>
                </w:rPr>
                <w:t>BNF</w:t>
              </w:r>
              <w:proofErr w:type="spellEnd"/>
            </w:hyperlink>
            <w:r w:rsidRPr="00924775">
              <w:rPr>
                <w:rFonts w:eastAsia="Arial" w:cs="Arial"/>
                <w:color w:val="000000" w:themeColor="text1"/>
                <w:sz w:val="22"/>
                <w:lang w:val="en-US"/>
              </w:rPr>
              <w:t xml:space="preserve"> or </w:t>
            </w:r>
            <w:hyperlink r:id="rId24">
              <w:r w:rsidRPr="00924775">
                <w:rPr>
                  <w:rStyle w:val="Hyperlink"/>
                  <w:rFonts w:eastAsia="Arial" w:cs="Arial"/>
                  <w:sz w:val="22"/>
                  <w:lang w:val="en-US"/>
                </w:rPr>
                <w:t>S</w:t>
              </w:r>
              <w:r w:rsidR="00F34FCB">
                <w:rPr>
                  <w:rStyle w:val="Hyperlink"/>
                  <w:rFonts w:eastAsia="Arial" w:cs="Arial"/>
                  <w:sz w:val="22"/>
                  <w:lang w:val="en-US"/>
                </w:rPr>
                <w:t>m</w:t>
              </w:r>
              <w:r w:rsidRPr="00924775">
                <w:rPr>
                  <w:rStyle w:val="Hyperlink"/>
                  <w:rFonts w:eastAsia="Arial" w:cs="Arial"/>
                  <w:sz w:val="22"/>
                  <w:lang w:val="en-US"/>
                </w:rPr>
                <w:t>PC</w:t>
              </w:r>
            </w:hyperlink>
            <w:r w:rsidRPr="00924775">
              <w:rPr>
                <w:rFonts w:eastAsia="Arial" w:cs="Arial"/>
                <w:color w:val="000000" w:themeColor="text1"/>
                <w:sz w:val="22"/>
                <w:lang w:val="en-US"/>
              </w:rPr>
              <w:t xml:space="preserve"> for comprehensive information and recommended management.</w:t>
            </w:r>
          </w:p>
        </w:tc>
      </w:tr>
      <w:tr w:rsidR="008D5964" w:rsidRPr="002D255E" w14:paraId="44BD7062" w14:textId="77777777" w:rsidTr="7234176C">
        <w:trPr>
          <w:jc w:val="center"/>
        </w:trPr>
        <w:tc>
          <w:tcPr>
            <w:tcW w:w="10455" w:type="dxa"/>
            <w:gridSpan w:val="3"/>
            <w:tcBorders>
              <w:top w:val="nil"/>
              <w:bottom w:val="single" w:sz="4" w:space="0" w:color="auto"/>
            </w:tcBorders>
            <w:shd w:val="clear" w:color="auto" w:fill="auto"/>
          </w:tcPr>
          <w:p w14:paraId="24289A8A" w14:textId="5D3A1A1F" w:rsidR="008D5964" w:rsidRPr="00924775" w:rsidRDefault="008D5964" w:rsidP="00E0264C">
            <w:pPr>
              <w:autoSpaceDE w:val="0"/>
              <w:autoSpaceDN w:val="0"/>
              <w:adjustRightInd w:val="0"/>
              <w:rPr>
                <w:rFonts w:eastAsia="Times New Roman" w:cs="Arial"/>
                <w:bCs/>
                <w:iCs/>
                <w:color w:val="000000"/>
                <w:sz w:val="22"/>
                <w:lang w:eastAsia="en-GB"/>
              </w:rPr>
            </w:pPr>
          </w:p>
        </w:tc>
      </w:tr>
      <w:tr w:rsidR="008D5964" w:rsidRPr="002D255E" w14:paraId="24EF260A" w14:textId="77777777" w:rsidTr="7234176C">
        <w:trPr>
          <w:jc w:val="center"/>
        </w:trPr>
        <w:tc>
          <w:tcPr>
            <w:tcW w:w="10455" w:type="dxa"/>
            <w:gridSpan w:val="3"/>
            <w:tcBorders>
              <w:bottom w:val="nil"/>
            </w:tcBorders>
            <w:shd w:val="clear" w:color="auto" w:fill="F2F2F2" w:themeFill="background1" w:themeFillShade="F2"/>
          </w:tcPr>
          <w:p w14:paraId="6FA6EB67" w14:textId="3453B847" w:rsidR="008D5964" w:rsidRPr="002D255E" w:rsidRDefault="008D5964" w:rsidP="008D5964">
            <w:pPr>
              <w:pStyle w:val="Heading1"/>
              <w:tabs>
                <w:tab w:val="right" w:pos="10240"/>
              </w:tabs>
              <w:rPr>
                <w:rStyle w:val="Hyperlink"/>
                <w:rFonts w:eastAsia="Times New Roman" w:cs="Arial"/>
                <w:szCs w:val="24"/>
                <w:lang w:eastAsia="en-GB"/>
              </w:rPr>
            </w:pPr>
            <w:bookmarkStart w:id="7" w:name="_Baseline_investigations,_initial"/>
            <w:bookmarkStart w:id="8" w:name="Seven_specialist_monitoring"/>
            <w:bookmarkEnd w:id="7"/>
            <w:bookmarkEnd w:id="8"/>
            <w:r w:rsidRPr="002D255E">
              <w:rPr>
                <w:lang w:eastAsia="en-GB"/>
              </w:rPr>
              <w:t>Baseline investigations, initial monitoring and ongoing monitoring to be undertaken by specialist</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57CB14F0" w14:textId="1BCC1068" w:rsidR="008D5964" w:rsidRPr="002D255E" w:rsidRDefault="008D5964" w:rsidP="00166E03">
            <w:pPr>
              <w:spacing w:after="120" w:line="240" w:lineRule="auto"/>
              <w:rPr>
                <w:b/>
                <w:szCs w:val="24"/>
                <w:lang w:eastAsia="en-GB"/>
              </w:rPr>
            </w:pPr>
            <w:r w:rsidRPr="00924775">
              <w:rPr>
                <w:sz w:val="22"/>
                <w:szCs w:val="20"/>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8D5964" w:rsidRPr="002D255E" w14:paraId="03C811CF" w14:textId="77777777" w:rsidTr="7234176C">
        <w:trPr>
          <w:jc w:val="center"/>
        </w:trPr>
        <w:tc>
          <w:tcPr>
            <w:tcW w:w="10455" w:type="dxa"/>
            <w:gridSpan w:val="3"/>
            <w:tcBorders>
              <w:top w:val="nil"/>
            </w:tcBorders>
            <w:shd w:val="clear" w:color="auto" w:fill="auto"/>
          </w:tcPr>
          <w:p w14:paraId="0CF39B08" w14:textId="77777777" w:rsidR="00F03D82" w:rsidRPr="00924775" w:rsidRDefault="00F03D82" w:rsidP="00F03D82">
            <w:pPr>
              <w:spacing w:after="50"/>
              <w:rPr>
                <w:rFonts w:eastAsia="Arial" w:cs="Arial"/>
                <w:sz w:val="22"/>
              </w:rPr>
            </w:pPr>
            <w:r w:rsidRPr="00924775">
              <w:rPr>
                <w:rFonts w:eastAsia="Arial" w:cs="Arial"/>
                <w:b/>
                <w:bCs/>
                <w:sz w:val="22"/>
              </w:rPr>
              <w:t xml:space="preserve">Baseline investigations: </w:t>
            </w:r>
          </w:p>
          <w:p w14:paraId="4F8696DB" w14:textId="77777777" w:rsidR="00E0264C" w:rsidRPr="00924775" w:rsidRDefault="00E0264C" w:rsidP="008D5964">
            <w:pPr>
              <w:autoSpaceDE w:val="0"/>
              <w:autoSpaceDN w:val="0"/>
              <w:adjustRightInd w:val="0"/>
              <w:spacing w:before="60" w:after="60" w:line="240" w:lineRule="auto"/>
              <w:contextualSpacing/>
              <w:rPr>
                <w:rFonts w:eastAsia="Times New Roman" w:cs="Arial"/>
                <w:sz w:val="22"/>
                <w:szCs w:val="20"/>
                <w:lang w:eastAsia="en-GB"/>
              </w:rPr>
            </w:pPr>
          </w:p>
          <w:p w14:paraId="73B155E4" w14:textId="77777777" w:rsidR="00F03D82" w:rsidRPr="00924775" w:rsidRDefault="00F03D82" w:rsidP="008D5964">
            <w:pPr>
              <w:autoSpaceDE w:val="0"/>
              <w:autoSpaceDN w:val="0"/>
              <w:adjustRightInd w:val="0"/>
              <w:spacing w:before="60" w:after="60" w:line="240" w:lineRule="auto"/>
              <w:contextualSpacing/>
              <w:rPr>
                <w:rFonts w:eastAsia="Times New Roman" w:cs="Arial"/>
                <w:sz w:val="22"/>
                <w:szCs w:val="20"/>
                <w:lang w:eastAsia="en-GB"/>
              </w:rPr>
            </w:pPr>
          </w:p>
          <w:p w14:paraId="2816A616" w14:textId="77777777" w:rsidR="00F03D82" w:rsidRPr="00924775" w:rsidRDefault="00F03D82" w:rsidP="008D5964">
            <w:pPr>
              <w:autoSpaceDE w:val="0"/>
              <w:autoSpaceDN w:val="0"/>
              <w:adjustRightInd w:val="0"/>
              <w:spacing w:before="60" w:after="60" w:line="240" w:lineRule="auto"/>
              <w:contextualSpacing/>
              <w:rPr>
                <w:rFonts w:eastAsia="Times New Roman" w:cs="Arial"/>
                <w:sz w:val="22"/>
                <w:szCs w:val="20"/>
                <w:lang w:eastAsia="en-GB"/>
              </w:rPr>
            </w:pPr>
          </w:p>
          <w:p w14:paraId="600CD900" w14:textId="77777777" w:rsidR="00F03D82" w:rsidRPr="00924775" w:rsidRDefault="00F03D82" w:rsidP="008D5964">
            <w:pPr>
              <w:autoSpaceDE w:val="0"/>
              <w:autoSpaceDN w:val="0"/>
              <w:adjustRightInd w:val="0"/>
              <w:spacing w:before="60" w:after="60" w:line="240" w:lineRule="auto"/>
              <w:contextualSpacing/>
              <w:rPr>
                <w:rFonts w:eastAsia="Times New Roman" w:cs="Arial"/>
                <w:sz w:val="22"/>
                <w:szCs w:val="20"/>
                <w:lang w:eastAsia="en-GB"/>
              </w:rPr>
            </w:pPr>
          </w:p>
          <w:p w14:paraId="6FFDDDC2" w14:textId="77777777" w:rsidR="00F03D82" w:rsidRPr="00924775" w:rsidRDefault="00F03D82" w:rsidP="00F03D82">
            <w:pPr>
              <w:pStyle w:val="Default"/>
              <w:spacing w:after="50" w:line="360" w:lineRule="atLeast"/>
              <w:rPr>
                <w:rFonts w:eastAsia="Arial"/>
                <w:sz w:val="22"/>
                <w:szCs w:val="22"/>
              </w:rPr>
            </w:pPr>
            <w:r w:rsidRPr="00924775">
              <w:rPr>
                <w:rFonts w:eastAsia="Arial"/>
                <w:b/>
                <w:bCs/>
                <w:color w:val="000000" w:themeColor="text1"/>
                <w:sz w:val="22"/>
                <w:szCs w:val="22"/>
              </w:rPr>
              <w:lastRenderedPageBreak/>
              <w:t xml:space="preserve">Initial monitoring and at dose change: </w:t>
            </w:r>
          </w:p>
          <w:p w14:paraId="269825EA" w14:textId="77777777" w:rsidR="00F03D82" w:rsidRPr="00924775" w:rsidRDefault="00F03D82" w:rsidP="008D5964">
            <w:pPr>
              <w:autoSpaceDE w:val="0"/>
              <w:autoSpaceDN w:val="0"/>
              <w:adjustRightInd w:val="0"/>
              <w:spacing w:before="60" w:after="60" w:line="240" w:lineRule="auto"/>
              <w:contextualSpacing/>
              <w:rPr>
                <w:rFonts w:eastAsia="Times New Roman" w:cs="Arial"/>
                <w:sz w:val="22"/>
                <w:szCs w:val="20"/>
                <w:lang w:eastAsia="en-GB"/>
              </w:rPr>
            </w:pPr>
          </w:p>
          <w:p w14:paraId="685EF24C" w14:textId="77777777" w:rsidR="00E0264C" w:rsidRPr="00924775" w:rsidRDefault="00E0264C" w:rsidP="008D5964">
            <w:pPr>
              <w:autoSpaceDE w:val="0"/>
              <w:autoSpaceDN w:val="0"/>
              <w:adjustRightInd w:val="0"/>
              <w:spacing w:before="60" w:after="60" w:line="240" w:lineRule="auto"/>
              <w:contextualSpacing/>
              <w:rPr>
                <w:rFonts w:eastAsia="Times New Roman" w:cs="Arial"/>
                <w:sz w:val="22"/>
                <w:szCs w:val="20"/>
                <w:lang w:eastAsia="en-GB"/>
              </w:rPr>
            </w:pPr>
          </w:p>
          <w:p w14:paraId="26BFC67A" w14:textId="77777777" w:rsidR="00E0264C" w:rsidRPr="00924775" w:rsidRDefault="00E0264C" w:rsidP="008D5964">
            <w:pPr>
              <w:autoSpaceDE w:val="0"/>
              <w:autoSpaceDN w:val="0"/>
              <w:adjustRightInd w:val="0"/>
              <w:spacing w:before="60" w:after="60" w:line="240" w:lineRule="auto"/>
              <w:contextualSpacing/>
              <w:rPr>
                <w:rFonts w:eastAsia="Times New Roman" w:cs="Arial"/>
                <w:sz w:val="22"/>
                <w:szCs w:val="20"/>
                <w:lang w:eastAsia="en-GB"/>
              </w:rPr>
            </w:pPr>
          </w:p>
          <w:p w14:paraId="4AC26508" w14:textId="77777777" w:rsidR="00E0264C" w:rsidRPr="00924775" w:rsidRDefault="00E0264C" w:rsidP="008D5964">
            <w:pPr>
              <w:autoSpaceDE w:val="0"/>
              <w:autoSpaceDN w:val="0"/>
              <w:adjustRightInd w:val="0"/>
              <w:spacing w:before="60" w:after="60" w:line="240" w:lineRule="auto"/>
              <w:contextualSpacing/>
              <w:rPr>
                <w:rFonts w:eastAsia="Times New Roman" w:cs="Arial"/>
                <w:sz w:val="22"/>
                <w:szCs w:val="20"/>
                <w:lang w:eastAsia="en-GB"/>
              </w:rPr>
            </w:pPr>
          </w:p>
          <w:p w14:paraId="16834278" w14:textId="77777777" w:rsidR="00E0264C" w:rsidRPr="00924775" w:rsidRDefault="00E0264C" w:rsidP="008D5964">
            <w:pPr>
              <w:autoSpaceDE w:val="0"/>
              <w:autoSpaceDN w:val="0"/>
              <w:adjustRightInd w:val="0"/>
              <w:spacing w:before="60" w:after="60" w:line="240" w:lineRule="auto"/>
              <w:contextualSpacing/>
              <w:rPr>
                <w:rFonts w:eastAsia="Times New Roman" w:cs="Arial"/>
                <w:sz w:val="22"/>
                <w:szCs w:val="20"/>
                <w:lang w:eastAsia="en-GB"/>
              </w:rPr>
            </w:pPr>
          </w:p>
          <w:p w14:paraId="28EB8E48" w14:textId="77777777" w:rsidR="00F03D82" w:rsidRPr="00924775" w:rsidRDefault="00F03D82" w:rsidP="00F03D82">
            <w:pPr>
              <w:spacing w:after="50"/>
              <w:rPr>
                <w:rFonts w:eastAsia="Arial" w:cs="Arial"/>
                <w:sz w:val="22"/>
              </w:rPr>
            </w:pPr>
            <w:r w:rsidRPr="00924775">
              <w:rPr>
                <w:rFonts w:eastAsia="Arial" w:cs="Arial"/>
                <w:b/>
                <w:bCs/>
                <w:sz w:val="22"/>
              </w:rPr>
              <w:t xml:space="preserve">Ongoing monitoring: </w:t>
            </w:r>
          </w:p>
          <w:p w14:paraId="7604C712" w14:textId="192DD38F" w:rsidR="00E0264C" w:rsidRPr="00924775" w:rsidRDefault="00F03D82" w:rsidP="00F03D82">
            <w:pPr>
              <w:autoSpaceDE w:val="0"/>
              <w:autoSpaceDN w:val="0"/>
              <w:adjustRightInd w:val="0"/>
              <w:spacing w:before="60" w:after="120" w:line="240" w:lineRule="auto"/>
              <w:rPr>
                <w:rFonts w:eastAsia="Times New Roman" w:cs="Arial"/>
                <w:sz w:val="22"/>
                <w:szCs w:val="20"/>
                <w:lang w:eastAsia="en-GB"/>
              </w:rPr>
            </w:pPr>
            <w:r w:rsidRPr="00924775">
              <w:rPr>
                <w:rFonts w:eastAsia="Arial" w:cs="Arial"/>
                <w:sz w:val="22"/>
              </w:rPr>
              <w:t>The specialist will retain the responsibility for monitoring the patient’s ongoing response to treatment and advise if a dose change or treatment cessation is appropriate. This should be undertaken</w:t>
            </w:r>
            <w:r w:rsidR="0034549A">
              <w:rPr>
                <w:rFonts w:eastAsia="Arial" w:cs="Arial"/>
                <w:sz w:val="22"/>
              </w:rPr>
              <w:t xml:space="preserve"> on at least an</w:t>
            </w:r>
            <w:r w:rsidRPr="00924775">
              <w:rPr>
                <w:rFonts w:eastAsia="Arial" w:cs="Arial"/>
                <w:sz w:val="22"/>
              </w:rPr>
              <w:t xml:space="preserve"> annual</w:t>
            </w:r>
            <w:r w:rsidR="0034549A">
              <w:rPr>
                <w:rFonts w:eastAsia="Arial" w:cs="Arial"/>
                <w:sz w:val="22"/>
              </w:rPr>
              <w:t xml:space="preserve"> basis</w:t>
            </w:r>
            <w:r w:rsidRPr="00924775">
              <w:rPr>
                <w:rFonts w:eastAsia="Arial" w:cs="Arial"/>
                <w:sz w:val="22"/>
              </w:rPr>
              <w:t>.</w:t>
            </w:r>
          </w:p>
          <w:p w14:paraId="6DA8BDB6" w14:textId="77777777" w:rsidR="008D5964" w:rsidRDefault="00F03D82" w:rsidP="005201FF">
            <w:pPr>
              <w:autoSpaceDE w:val="0"/>
              <w:autoSpaceDN w:val="0"/>
              <w:adjustRightInd w:val="0"/>
              <w:spacing w:before="60" w:after="120" w:line="240" w:lineRule="auto"/>
              <w:contextualSpacing/>
              <w:rPr>
                <w:rFonts w:eastAsia="Times New Roman" w:cs="Arial"/>
                <w:sz w:val="22"/>
                <w:szCs w:val="20"/>
                <w:lang w:eastAsia="en-GB"/>
              </w:rPr>
            </w:pPr>
            <w:r w:rsidRPr="00924775">
              <w:rPr>
                <w:rFonts w:eastAsia="Times New Roman" w:cs="Arial"/>
                <w:sz w:val="22"/>
                <w:szCs w:val="20"/>
                <w:lang w:eastAsia="en-GB"/>
              </w:rPr>
              <w:t>After each review</w:t>
            </w:r>
            <w:r w:rsidR="008D5964" w:rsidRPr="00924775">
              <w:rPr>
                <w:rFonts w:eastAsia="Times New Roman" w:cs="Arial"/>
                <w:sz w:val="22"/>
                <w:szCs w:val="20"/>
                <w:lang w:eastAsia="en-GB"/>
              </w:rPr>
              <w:t xml:space="preserve">, advise primary care whether treatment should be continued, confirm the ongoing dose, and whether the ongoing monitoring outlined in </w:t>
            </w:r>
            <w:hyperlink w:anchor="Eight_primary_care_monitoring" w:history="1">
              <w:r w:rsidR="008D5964" w:rsidRPr="00F83C4F">
                <w:rPr>
                  <w:rStyle w:val="Hyperlink"/>
                  <w:rFonts w:eastAsia="Times New Roman" w:cs="Arial"/>
                  <w:sz w:val="22"/>
                  <w:szCs w:val="20"/>
                  <w:lang w:eastAsia="en-GB"/>
                </w:rPr>
                <w:t xml:space="preserve">section </w:t>
              </w:r>
              <w:r w:rsidR="00F83C4F" w:rsidRPr="00F83C4F">
                <w:rPr>
                  <w:rStyle w:val="Hyperlink"/>
                  <w:rFonts w:eastAsia="Times New Roman" w:cs="Arial"/>
                  <w:sz w:val="22"/>
                  <w:szCs w:val="20"/>
                  <w:lang w:eastAsia="en-GB"/>
                </w:rPr>
                <w:t>8</w:t>
              </w:r>
            </w:hyperlink>
            <w:r w:rsidR="008D5964" w:rsidRPr="00924775">
              <w:rPr>
                <w:rFonts w:eastAsia="Times New Roman" w:cs="Arial"/>
                <w:sz w:val="22"/>
                <w:szCs w:val="20"/>
                <w:lang w:eastAsia="en-GB"/>
              </w:rPr>
              <w:t xml:space="preserve"> remains appropriate.</w:t>
            </w:r>
          </w:p>
          <w:p w14:paraId="01BE7CD8" w14:textId="7636092E" w:rsidR="001E146E" w:rsidRPr="002D255E" w:rsidRDefault="001E146E" w:rsidP="005201FF">
            <w:pPr>
              <w:autoSpaceDE w:val="0"/>
              <w:autoSpaceDN w:val="0"/>
              <w:adjustRightInd w:val="0"/>
              <w:spacing w:before="60" w:after="120" w:line="240" w:lineRule="auto"/>
              <w:contextualSpacing/>
              <w:rPr>
                <w:rFonts w:eastAsia="Times New Roman" w:cs="Arial"/>
                <w:szCs w:val="24"/>
                <w:lang w:eastAsia="en-GB"/>
              </w:rPr>
            </w:pPr>
          </w:p>
        </w:tc>
      </w:tr>
      <w:tr w:rsidR="008D5964" w:rsidRPr="002D255E" w14:paraId="6695C431" w14:textId="77777777" w:rsidTr="7234176C">
        <w:trPr>
          <w:jc w:val="center"/>
        </w:trPr>
        <w:tc>
          <w:tcPr>
            <w:tcW w:w="10455" w:type="dxa"/>
            <w:gridSpan w:val="3"/>
            <w:shd w:val="clear" w:color="auto" w:fill="F2F2F2" w:themeFill="background1" w:themeFillShade="F2"/>
          </w:tcPr>
          <w:p w14:paraId="631F17A8" w14:textId="533F0BDD" w:rsidR="008D5964" w:rsidRPr="002D255E" w:rsidRDefault="008D5964" w:rsidP="008D5964">
            <w:pPr>
              <w:pStyle w:val="Heading1"/>
              <w:tabs>
                <w:tab w:val="right" w:pos="10238"/>
              </w:tabs>
              <w:spacing w:after="240"/>
              <w:rPr>
                <w:strike/>
                <w:lang w:eastAsia="en-GB"/>
              </w:rPr>
            </w:pPr>
            <w:bookmarkStart w:id="9" w:name="Eight_primary_care_monitoring"/>
            <w:bookmarkEnd w:id="9"/>
            <w:r w:rsidRPr="002D255E">
              <w:rPr>
                <w:lang w:eastAsia="en-GB"/>
              </w:rPr>
              <w:lastRenderedPageBreak/>
              <w:t xml:space="preserve">Ongoing monitoring requirements to be undertaken </w:t>
            </w:r>
            <w:r w:rsidRPr="002D255E">
              <w:rPr>
                <w:lang w:eastAsia="en-GB"/>
              </w:rPr>
              <w:br/>
              <w:t>by primary care</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25F94340" w14:textId="4A84D64C" w:rsidR="008D5964" w:rsidRPr="002D255E" w:rsidRDefault="008D5964" w:rsidP="00166E03">
            <w:pPr>
              <w:spacing w:after="120" w:line="240" w:lineRule="auto"/>
              <w:rPr>
                <w:b/>
                <w:szCs w:val="24"/>
                <w:lang w:eastAsia="en-GB"/>
              </w:rPr>
            </w:pPr>
            <w:r w:rsidRPr="00924775">
              <w:rPr>
                <w:sz w:val="22"/>
                <w:szCs w:val="20"/>
                <w:lang w:eastAsia="en-GB"/>
              </w:rPr>
              <w:t xml:space="preserve">See </w:t>
            </w:r>
            <w:hyperlink w:anchor="Nine_ADRs_and_management" w:history="1">
              <w:r w:rsidRPr="00F83C4F">
                <w:rPr>
                  <w:rStyle w:val="Hyperlink"/>
                  <w:rFonts w:eastAsia="Times New Roman" w:cs="Arial"/>
                  <w:iCs/>
                  <w:sz w:val="22"/>
                  <w:szCs w:val="20"/>
                  <w:lang w:eastAsia="en-GB"/>
                </w:rPr>
                <w:t xml:space="preserve">section </w:t>
              </w:r>
              <w:r w:rsidR="00F83C4F" w:rsidRPr="00F83C4F">
                <w:rPr>
                  <w:rStyle w:val="Hyperlink"/>
                  <w:rFonts w:eastAsia="Times New Roman" w:cs="Arial"/>
                  <w:iCs/>
                  <w:sz w:val="22"/>
                  <w:szCs w:val="20"/>
                  <w:lang w:eastAsia="en-GB"/>
                </w:rPr>
                <w:t>9</w:t>
              </w:r>
            </w:hyperlink>
            <w:r w:rsidRPr="00924775">
              <w:rPr>
                <w:sz w:val="22"/>
                <w:szCs w:val="20"/>
                <w:lang w:eastAsia="en-GB"/>
              </w:rPr>
              <w:t xml:space="preserve"> for further guidance on management of adverse effects/responding to monitoring results.</w:t>
            </w:r>
          </w:p>
        </w:tc>
      </w:tr>
      <w:tr w:rsidR="008D5964" w:rsidRPr="002D255E" w14:paraId="636A3198" w14:textId="77777777" w:rsidTr="7234176C">
        <w:trPr>
          <w:trHeight w:val="140"/>
          <w:jc w:val="center"/>
        </w:trPr>
        <w:tc>
          <w:tcPr>
            <w:tcW w:w="5227" w:type="dxa"/>
            <w:gridSpan w:val="2"/>
            <w:shd w:val="clear" w:color="auto" w:fill="F2F2F2" w:themeFill="background1" w:themeFillShade="F2"/>
          </w:tcPr>
          <w:p w14:paraId="4512E5AE" w14:textId="07A0FCFB" w:rsidR="008D5964" w:rsidRPr="00924775" w:rsidRDefault="008D5964" w:rsidP="008D5964">
            <w:pPr>
              <w:keepNext/>
              <w:spacing w:before="60" w:after="60" w:line="240" w:lineRule="auto"/>
              <w:jc w:val="center"/>
              <w:rPr>
                <w:rFonts w:eastAsia="Times New Roman" w:cs="Arial"/>
                <w:b/>
                <w:sz w:val="22"/>
                <w:lang w:eastAsia="en-GB"/>
              </w:rPr>
            </w:pPr>
            <w:r w:rsidRPr="00924775">
              <w:rPr>
                <w:rFonts w:eastAsia="Times New Roman" w:cstheme="minorHAnsi"/>
                <w:b/>
                <w:sz w:val="22"/>
                <w:lang w:eastAsia="en-GB"/>
              </w:rPr>
              <w:t>Monitoring</w:t>
            </w:r>
          </w:p>
        </w:tc>
        <w:tc>
          <w:tcPr>
            <w:tcW w:w="5228" w:type="dxa"/>
            <w:shd w:val="clear" w:color="auto" w:fill="F2F2F2" w:themeFill="background1" w:themeFillShade="F2"/>
          </w:tcPr>
          <w:p w14:paraId="5B122D8C" w14:textId="4615D877" w:rsidR="008D5964" w:rsidRPr="00924775" w:rsidRDefault="008D5964" w:rsidP="008D5964">
            <w:pPr>
              <w:spacing w:before="60" w:after="60" w:line="240" w:lineRule="auto"/>
              <w:jc w:val="center"/>
              <w:rPr>
                <w:rFonts w:eastAsia="Times New Roman" w:cs="Arial"/>
                <w:b/>
                <w:sz w:val="22"/>
                <w:lang w:eastAsia="en-GB"/>
              </w:rPr>
            </w:pPr>
            <w:r w:rsidRPr="00924775">
              <w:rPr>
                <w:rFonts w:eastAsia="Times New Roman" w:cstheme="minorHAnsi"/>
                <w:b/>
                <w:sz w:val="22"/>
                <w:lang w:eastAsia="en-GB"/>
              </w:rPr>
              <w:t>Frequency</w:t>
            </w:r>
          </w:p>
        </w:tc>
      </w:tr>
      <w:tr w:rsidR="008D5964" w:rsidRPr="002D255E" w14:paraId="6767A09B" w14:textId="77777777" w:rsidTr="7234176C">
        <w:trPr>
          <w:trHeight w:val="140"/>
          <w:jc w:val="center"/>
        </w:trPr>
        <w:tc>
          <w:tcPr>
            <w:tcW w:w="5227" w:type="dxa"/>
            <w:gridSpan w:val="2"/>
            <w:shd w:val="clear" w:color="auto" w:fill="auto"/>
          </w:tcPr>
          <w:p w14:paraId="37E7F176" w14:textId="6ACF57FB" w:rsidR="008D5964" w:rsidRPr="00924775" w:rsidRDefault="008D5964" w:rsidP="008D5964">
            <w:pPr>
              <w:pStyle w:val="ListParagraph"/>
              <w:numPr>
                <w:ilvl w:val="0"/>
                <w:numId w:val="29"/>
              </w:numPr>
              <w:autoSpaceDE w:val="0"/>
              <w:autoSpaceDN w:val="0"/>
              <w:adjustRightInd w:val="0"/>
              <w:spacing w:before="60" w:after="60" w:line="240" w:lineRule="auto"/>
              <w:contextualSpacing/>
              <w:rPr>
                <w:rFonts w:eastAsia="Times New Roman" w:cstheme="minorHAnsi"/>
                <w:sz w:val="22"/>
                <w:lang w:eastAsia="en-GB"/>
              </w:rPr>
            </w:pPr>
          </w:p>
        </w:tc>
        <w:tc>
          <w:tcPr>
            <w:tcW w:w="5228" w:type="dxa"/>
            <w:shd w:val="clear" w:color="auto" w:fill="auto"/>
          </w:tcPr>
          <w:p w14:paraId="5CBD5B62" w14:textId="3055E8C3" w:rsidR="008D5964" w:rsidRPr="00166E03" w:rsidRDefault="008D5964" w:rsidP="00166E03">
            <w:pPr>
              <w:pStyle w:val="ListParagraph"/>
              <w:numPr>
                <w:ilvl w:val="0"/>
                <w:numId w:val="29"/>
              </w:numPr>
              <w:spacing w:after="0"/>
              <w:ind w:hanging="312"/>
              <w:rPr>
                <w:rFonts w:cs="Arial"/>
                <w:b/>
                <w:sz w:val="22"/>
                <w:lang w:eastAsia="en-GB"/>
              </w:rPr>
            </w:pPr>
          </w:p>
        </w:tc>
      </w:tr>
      <w:tr w:rsidR="008D5964" w:rsidRPr="002D255E" w14:paraId="0F38AB0A" w14:textId="77777777" w:rsidTr="7234176C">
        <w:trPr>
          <w:trHeight w:val="140"/>
          <w:jc w:val="center"/>
        </w:trPr>
        <w:tc>
          <w:tcPr>
            <w:tcW w:w="5227" w:type="dxa"/>
            <w:gridSpan w:val="2"/>
            <w:shd w:val="clear" w:color="auto" w:fill="auto"/>
          </w:tcPr>
          <w:p w14:paraId="072D2682" w14:textId="54805193" w:rsidR="008D5964" w:rsidRPr="00924775" w:rsidRDefault="008D5964" w:rsidP="00CA32C2">
            <w:pPr>
              <w:pStyle w:val="ListParagraph"/>
              <w:numPr>
                <w:ilvl w:val="0"/>
                <w:numId w:val="19"/>
              </w:numPr>
              <w:autoSpaceDE w:val="0"/>
              <w:autoSpaceDN w:val="0"/>
              <w:adjustRightInd w:val="0"/>
              <w:spacing w:after="0"/>
              <w:ind w:left="360"/>
              <w:contextualSpacing/>
              <w:rPr>
                <w:rFonts w:eastAsia="Times New Roman" w:cs="Arial"/>
                <w:bCs/>
                <w:iCs/>
                <w:color w:val="000000"/>
                <w:sz w:val="22"/>
                <w:lang w:eastAsia="en-GB"/>
              </w:rPr>
            </w:pPr>
          </w:p>
        </w:tc>
        <w:tc>
          <w:tcPr>
            <w:tcW w:w="5228" w:type="dxa"/>
            <w:shd w:val="clear" w:color="auto" w:fill="auto"/>
          </w:tcPr>
          <w:p w14:paraId="6A2B03AB" w14:textId="2F6F1B8A" w:rsidR="008D5964" w:rsidRPr="00924775" w:rsidRDefault="008D5964" w:rsidP="00166E03">
            <w:pPr>
              <w:pStyle w:val="ListParagraph"/>
              <w:numPr>
                <w:ilvl w:val="0"/>
                <w:numId w:val="19"/>
              </w:numPr>
              <w:spacing w:before="60" w:after="60" w:line="240" w:lineRule="auto"/>
              <w:ind w:left="331" w:hanging="283"/>
              <w:contextualSpacing/>
              <w:rPr>
                <w:rFonts w:cstheme="minorHAnsi"/>
                <w:color w:val="000000"/>
                <w:sz w:val="22"/>
                <w:lang w:eastAsia="en-GB"/>
              </w:rPr>
            </w:pPr>
          </w:p>
        </w:tc>
      </w:tr>
      <w:tr w:rsidR="008D5964" w:rsidRPr="002D255E" w14:paraId="2C0454E3" w14:textId="77777777" w:rsidTr="7234176C">
        <w:trPr>
          <w:trHeight w:val="140"/>
          <w:jc w:val="center"/>
        </w:trPr>
        <w:tc>
          <w:tcPr>
            <w:tcW w:w="10455" w:type="dxa"/>
            <w:gridSpan w:val="3"/>
            <w:shd w:val="clear" w:color="auto" w:fill="auto"/>
          </w:tcPr>
          <w:p w14:paraId="08011160" w14:textId="1CEBF424" w:rsidR="008D5964" w:rsidRPr="002D255E" w:rsidRDefault="008D5964" w:rsidP="005201FF">
            <w:pPr>
              <w:spacing w:after="120" w:line="240" w:lineRule="auto"/>
              <w:rPr>
                <w:rFonts w:cs="Arial"/>
                <w:b/>
                <w:bCs/>
                <w:lang w:eastAsia="en-GB"/>
              </w:rPr>
            </w:pPr>
            <w:r w:rsidRPr="00924775">
              <w:rPr>
                <w:rFonts w:cs="Arial"/>
                <w:b/>
                <w:bCs/>
                <w:sz w:val="22"/>
                <w:szCs w:val="20"/>
                <w:lang w:eastAsia="en-GB"/>
              </w:rPr>
              <w:t>(If relevant) If monitoring results are forwarded to the specialist team, please include clear clinical information on the reason for sending, to inform action to be taken by secondary care.</w:t>
            </w:r>
          </w:p>
        </w:tc>
      </w:tr>
      <w:tr w:rsidR="008D5964" w:rsidRPr="002D255E" w14:paraId="042BD065" w14:textId="77777777" w:rsidTr="7234176C">
        <w:trPr>
          <w:jc w:val="center"/>
        </w:trPr>
        <w:tc>
          <w:tcPr>
            <w:tcW w:w="10455" w:type="dxa"/>
            <w:gridSpan w:val="3"/>
            <w:shd w:val="clear" w:color="auto" w:fill="F2F2F2" w:themeFill="background1" w:themeFillShade="F2"/>
          </w:tcPr>
          <w:p w14:paraId="32599F9D" w14:textId="4BCAEC5E" w:rsidR="008D5964" w:rsidRPr="002D255E" w:rsidRDefault="008D5964" w:rsidP="008D5964">
            <w:pPr>
              <w:pStyle w:val="Heading1"/>
              <w:tabs>
                <w:tab w:val="right" w:pos="10238"/>
              </w:tabs>
              <w:ind w:left="599" w:hanging="599"/>
              <w:rPr>
                <w:lang w:eastAsia="en-GB"/>
              </w:rPr>
            </w:pPr>
            <w:bookmarkStart w:id="10" w:name="Nine_ADRs_and_management"/>
            <w:bookmarkEnd w:id="10"/>
            <w:r w:rsidRPr="002D255E">
              <w:rPr>
                <w:lang w:eastAsia="en-GB"/>
              </w:rPr>
              <w:t>Adverse effects and other management</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334D0561" w14:textId="05A402F1" w:rsidR="008D5964" w:rsidRPr="002D255E" w:rsidRDefault="008D5964" w:rsidP="00166E03">
            <w:pPr>
              <w:spacing w:after="120" w:line="240" w:lineRule="auto"/>
              <w:rPr>
                <w:rStyle w:val="Hyperlink"/>
                <w:rFonts w:eastAsia="Calibri" w:cs="Arial"/>
                <w:noProof/>
                <w:sz w:val="22"/>
                <w:lang w:eastAsia="en-GB"/>
              </w:rPr>
            </w:pPr>
            <w:r w:rsidRPr="002D255E">
              <w:rPr>
                <w:b/>
                <w:bCs/>
              </w:rPr>
              <w:t>Any serious adverse reactions should be reported to the MHRA via the Yellow Card scheme. Visit</w:t>
            </w:r>
            <w:r w:rsidRPr="00924775">
              <w:rPr>
                <w:b/>
                <w:bCs/>
                <w:szCs w:val="24"/>
              </w:rPr>
              <w:t xml:space="preserve"> </w:t>
            </w:r>
            <w:hyperlink r:id="rId25" w:history="1">
              <w:r w:rsidR="00DD1DA5" w:rsidRPr="00B25E36">
                <w:rPr>
                  <w:rStyle w:val="Hyperlink"/>
                  <w:b/>
                  <w:bCs/>
                  <w:szCs w:val="24"/>
                </w:rPr>
                <w:t>https://yellowcard.mhra.gov.uk/</w:t>
              </w:r>
            </w:hyperlink>
            <w:r w:rsidR="00DD1DA5">
              <w:rPr>
                <w:b/>
                <w:bCs/>
                <w:szCs w:val="24"/>
              </w:rPr>
              <w:t xml:space="preserve">. </w:t>
            </w:r>
          </w:p>
          <w:p w14:paraId="6CDD62FF" w14:textId="47E315A0" w:rsidR="008D5964" w:rsidRPr="002D255E" w:rsidRDefault="008D5964" w:rsidP="00166E03">
            <w:pPr>
              <w:spacing w:after="120" w:line="240" w:lineRule="auto"/>
              <w:rPr>
                <w:noProof/>
                <w:sz w:val="20"/>
                <w:szCs w:val="20"/>
                <w:lang w:eastAsia="en-GB"/>
              </w:rPr>
            </w:pPr>
            <w:r w:rsidRPr="002D255E">
              <w:rPr>
                <w:rStyle w:val="Hyperlink"/>
                <w:rFonts w:eastAsia="Calibri" w:cs="Arial"/>
                <w:noProof/>
                <w:color w:val="000000"/>
                <w:sz w:val="22"/>
                <w:u w:val="none"/>
                <w:lang w:eastAsia="en-GB"/>
              </w:rPr>
              <w:t>For information on incidence of ADRs see relevant summaries of product characteristics</w:t>
            </w:r>
            <w:r w:rsidR="00166E03">
              <w:rPr>
                <w:rStyle w:val="Hyperlink"/>
                <w:rFonts w:eastAsia="Calibri" w:cs="Arial"/>
                <w:noProof/>
                <w:color w:val="000000"/>
                <w:sz w:val="22"/>
                <w:u w:val="none"/>
                <w:lang w:eastAsia="en-GB"/>
              </w:rPr>
              <w:t>.</w:t>
            </w:r>
          </w:p>
        </w:tc>
      </w:tr>
      <w:tr w:rsidR="008D5964" w:rsidRPr="002D255E" w14:paraId="3C261EF2" w14:textId="77777777" w:rsidTr="7234176C">
        <w:trPr>
          <w:jc w:val="center"/>
        </w:trPr>
        <w:tc>
          <w:tcPr>
            <w:tcW w:w="5227" w:type="dxa"/>
            <w:gridSpan w:val="2"/>
            <w:shd w:val="clear" w:color="auto" w:fill="F2F2F2" w:themeFill="background1" w:themeFillShade="F2"/>
          </w:tcPr>
          <w:p w14:paraId="516C3772" w14:textId="24C8DC24" w:rsidR="008D5964" w:rsidRPr="00924775" w:rsidRDefault="008D5964" w:rsidP="008D5964">
            <w:pPr>
              <w:spacing w:after="0"/>
              <w:jc w:val="center"/>
              <w:rPr>
                <w:rFonts w:eastAsia="Times New Roman" w:cs="Arial"/>
                <w:b/>
                <w:sz w:val="22"/>
                <w:szCs w:val="20"/>
                <w:lang w:eastAsia="en-GB"/>
              </w:rPr>
            </w:pPr>
            <w:r w:rsidRPr="00924775">
              <w:rPr>
                <w:rFonts w:eastAsia="Times New Roman" w:cs="Arial"/>
                <w:b/>
                <w:sz w:val="22"/>
                <w:szCs w:val="20"/>
                <w:lang w:eastAsia="en-GB"/>
              </w:rPr>
              <w:t>Result</w:t>
            </w:r>
          </w:p>
        </w:tc>
        <w:tc>
          <w:tcPr>
            <w:tcW w:w="5228" w:type="dxa"/>
            <w:shd w:val="clear" w:color="auto" w:fill="F2F2F2" w:themeFill="background1" w:themeFillShade="F2"/>
          </w:tcPr>
          <w:p w14:paraId="0CA8A09B" w14:textId="4301643C" w:rsidR="008D5964" w:rsidRPr="00924775" w:rsidRDefault="008D5964" w:rsidP="008D5964">
            <w:pPr>
              <w:spacing w:after="0"/>
              <w:jc w:val="center"/>
              <w:rPr>
                <w:rFonts w:eastAsia="Times New Roman" w:cs="Arial"/>
                <w:b/>
                <w:sz w:val="22"/>
                <w:szCs w:val="20"/>
                <w:lang w:eastAsia="en-GB"/>
              </w:rPr>
            </w:pPr>
            <w:r w:rsidRPr="00924775">
              <w:rPr>
                <w:rFonts w:eastAsia="Times New Roman" w:cs="Arial"/>
                <w:b/>
                <w:sz w:val="22"/>
                <w:szCs w:val="20"/>
                <w:lang w:eastAsia="en-GB"/>
              </w:rPr>
              <w:t>Action for primary care</w:t>
            </w:r>
          </w:p>
        </w:tc>
      </w:tr>
      <w:tr w:rsidR="008D5964" w:rsidRPr="002D255E" w14:paraId="6C44DC1D" w14:textId="77777777" w:rsidTr="7234176C">
        <w:trPr>
          <w:jc w:val="center"/>
        </w:trPr>
        <w:tc>
          <w:tcPr>
            <w:tcW w:w="10455" w:type="dxa"/>
            <w:gridSpan w:val="3"/>
            <w:shd w:val="clear" w:color="auto" w:fill="auto"/>
          </w:tcPr>
          <w:p w14:paraId="00D7A796" w14:textId="77777777" w:rsidR="008D5964" w:rsidRPr="00924775" w:rsidRDefault="008D5964" w:rsidP="00166E03">
            <w:pPr>
              <w:spacing w:after="0" w:line="240" w:lineRule="auto"/>
              <w:jc w:val="center"/>
              <w:rPr>
                <w:rFonts w:cs="Arial"/>
                <w:b/>
                <w:bCs/>
                <w:sz w:val="22"/>
                <w:szCs w:val="20"/>
                <w:lang w:eastAsia="en-GB"/>
              </w:rPr>
            </w:pPr>
            <w:r w:rsidRPr="00924775">
              <w:rPr>
                <w:rFonts w:cs="Arial"/>
                <w:b/>
                <w:bCs/>
                <w:sz w:val="22"/>
                <w:szCs w:val="20"/>
                <w:lang w:eastAsia="en-GB"/>
              </w:rPr>
              <w:t>As well as responding to absolute values in laboratory tests, a rapid change or a consistent trend in any value should prompt caution and extra vigilance</w:t>
            </w:r>
          </w:p>
        </w:tc>
      </w:tr>
      <w:tr w:rsidR="008D5964" w:rsidRPr="002D255E" w14:paraId="1FA82767" w14:textId="77777777" w:rsidTr="7234176C">
        <w:trPr>
          <w:trHeight w:val="78"/>
          <w:jc w:val="center"/>
        </w:trPr>
        <w:tc>
          <w:tcPr>
            <w:tcW w:w="5227" w:type="dxa"/>
            <w:gridSpan w:val="2"/>
            <w:shd w:val="clear" w:color="auto" w:fill="auto"/>
          </w:tcPr>
          <w:p w14:paraId="02EB5D0E" w14:textId="7A141C58" w:rsidR="008D5964" w:rsidRPr="002D255E" w:rsidRDefault="008D5964" w:rsidP="00E0264C">
            <w:pPr>
              <w:spacing w:after="0"/>
              <w:ind w:left="360"/>
              <w:rPr>
                <w:rFonts w:cs="Arial"/>
                <w:lang w:eastAsia="en-GB"/>
              </w:rPr>
            </w:pPr>
          </w:p>
        </w:tc>
        <w:tc>
          <w:tcPr>
            <w:tcW w:w="5228" w:type="dxa"/>
            <w:shd w:val="clear" w:color="auto" w:fill="auto"/>
          </w:tcPr>
          <w:p w14:paraId="6897B92F" w14:textId="7920D310" w:rsidR="008D5964" w:rsidRPr="002D255E" w:rsidRDefault="008D5964" w:rsidP="008D5964">
            <w:pPr>
              <w:spacing w:after="0"/>
              <w:rPr>
                <w:rFonts w:eastAsia="Times New Roman" w:cs="Arial"/>
                <w:bCs/>
                <w:lang w:eastAsia="en-GB"/>
              </w:rPr>
            </w:pPr>
          </w:p>
        </w:tc>
      </w:tr>
      <w:tr w:rsidR="008D5964" w:rsidRPr="002D255E" w14:paraId="66089C4A" w14:textId="77777777" w:rsidTr="7234176C">
        <w:trPr>
          <w:trHeight w:val="78"/>
          <w:jc w:val="center"/>
        </w:trPr>
        <w:tc>
          <w:tcPr>
            <w:tcW w:w="5227" w:type="dxa"/>
            <w:gridSpan w:val="2"/>
            <w:shd w:val="clear" w:color="auto" w:fill="auto"/>
          </w:tcPr>
          <w:p w14:paraId="786F5C7A" w14:textId="6C5DDF0A" w:rsidR="008D5964" w:rsidRPr="002D255E" w:rsidRDefault="008D5964" w:rsidP="008D5964">
            <w:pPr>
              <w:spacing w:after="0"/>
              <w:rPr>
                <w:rFonts w:eastAsia="Times New Roman" w:cs="Arial"/>
                <w:b/>
                <w:lang w:eastAsia="en-GB"/>
              </w:rPr>
            </w:pPr>
          </w:p>
        </w:tc>
        <w:tc>
          <w:tcPr>
            <w:tcW w:w="5228" w:type="dxa"/>
            <w:shd w:val="clear" w:color="auto" w:fill="auto"/>
          </w:tcPr>
          <w:p w14:paraId="469F3D89" w14:textId="709056C6" w:rsidR="008D5964" w:rsidRPr="002D255E" w:rsidRDefault="008D5964" w:rsidP="00CA32C2">
            <w:pPr>
              <w:spacing w:after="0"/>
              <w:rPr>
                <w:rFonts w:eastAsia="Times New Roman" w:cs="Arial"/>
                <w:b/>
                <w:lang w:eastAsia="en-GB"/>
              </w:rPr>
            </w:pPr>
          </w:p>
        </w:tc>
      </w:tr>
      <w:tr w:rsidR="008D5964" w:rsidRPr="002D255E" w14:paraId="602C2B8E" w14:textId="77777777" w:rsidTr="7234176C">
        <w:trPr>
          <w:trHeight w:val="78"/>
          <w:jc w:val="center"/>
        </w:trPr>
        <w:tc>
          <w:tcPr>
            <w:tcW w:w="5227" w:type="dxa"/>
            <w:gridSpan w:val="2"/>
            <w:shd w:val="clear" w:color="auto" w:fill="auto"/>
          </w:tcPr>
          <w:p w14:paraId="760699F1" w14:textId="5A1823B2" w:rsidR="008D5964" w:rsidRPr="002D255E" w:rsidRDefault="008D5964" w:rsidP="008D5964">
            <w:pPr>
              <w:spacing w:after="0"/>
              <w:rPr>
                <w:rFonts w:eastAsia="Times New Roman" w:cs="Arial"/>
                <w:bCs/>
                <w:lang w:eastAsia="en-GB"/>
              </w:rPr>
            </w:pPr>
          </w:p>
        </w:tc>
        <w:tc>
          <w:tcPr>
            <w:tcW w:w="5228" w:type="dxa"/>
            <w:shd w:val="clear" w:color="auto" w:fill="auto"/>
          </w:tcPr>
          <w:p w14:paraId="7360B5D2" w14:textId="68427F3D" w:rsidR="008D5964" w:rsidRPr="002D255E" w:rsidRDefault="008D5964" w:rsidP="008D5964">
            <w:pPr>
              <w:spacing w:after="0"/>
              <w:rPr>
                <w:rFonts w:eastAsia="Times New Roman" w:cs="Arial"/>
                <w:lang w:eastAsia="en-GB"/>
              </w:rPr>
            </w:pPr>
          </w:p>
        </w:tc>
      </w:tr>
      <w:tr w:rsidR="008D5964" w:rsidRPr="002D255E" w14:paraId="3ADBA703" w14:textId="77777777" w:rsidTr="7234176C">
        <w:trPr>
          <w:trHeight w:val="78"/>
          <w:jc w:val="center"/>
        </w:trPr>
        <w:tc>
          <w:tcPr>
            <w:tcW w:w="5227" w:type="dxa"/>
            <w:gridSpan w:val="2"/>
            <w:shd w:val="clear" w:color="auto" w:fill="auto"/>
          </w:tcPr>
          <w:p w14:paraId="54080CBD" w14:textId="040A59F1" w:rsidR="008D5964" w:rsidRPr="002D255E" w:rsidRDefault="008D5964" w:rsidP="00CA32C2">
            <w:pPr>
              <w:spacing w:after="0"/>
              <w:rPr>
                <w:rFonts w:eastAsia="Times New Roman" w:cs="Arial"/>
                <w:lang w:eastAsia="en-GB"/>
              </w:rPr>
            </w:pPr>
          </w:p>
        </w:tc>
        <w:tc>
          <w:tcPr>
            <w:tcW w:w="5228" w:type="dxa"/>
            <w:shd w:val="clear" w:color="auto" w:fill="auto"/>
          </w:tcPr>
          <w:p w14:paraId="198FC094" w14:textId="6B1E4A04" w:rsidR="008D5964" w:rsidRPr="002D255E" w:rsidRDefault="008D5964" w:rsidP="008D5964">
            <w:pPr>
              <w:spacing w:after="0"/>
              <w:rPr>
                <w:rFonts w:eastAsia="Times New Roman" w:cs="Arial"/>
                <w:lang w:eastAsia="en-GB"/>
              </w:rPr>
            </w:pPr>
          </w:p>
        </w:tc>
      </w:tr>
      <w:tr w:rsidR="008D5964" w:rsidRPr="002D255E" w14:paraId="60C0C622" w14:textId="77777777" w:rsidTr="7234176C">
        <w:trPr>
          <w:trHeight w:val="78"/>
          <w:jc w:val="center"/>
        </w:trPr>
        <w:tc>
          <w:tcPr>
            <w:tcW w:w="5227" w:type="dxa"/>
            <w:gridSpan w:val="2"/>
            <w:shd w:val="clear" w:color="auto" w:fill="auto"/>
          </w:tcPr>
          <w:p w14:paraId="26B69ADA" w14:textId="71EF68DA" w:rsidR="008D5964" w:rsidRPr="002D255E" w:rsidRDefault="008D5964" w:rsidP="00CA32C2">
            <w:pPr>
              <w:spacing w:after="0"/>
              <w:rPr>
                <w:rFonts w:eastAsia="Times New Roman" w:cs="Arial"/>
                <w:b/>
                <w:lang w:eastAsia="en-GB"/>
              </w:rPr>
            </w:pPr>
          </w:p>
        </w:tc>
        <w:tc>
          <w:tcPr>
            <w:tcW w:w="5228" w:type="dxa"/>
            <w:shd w:val="clear" w:color="auto" w:fill="auto"/>
          </w:tcPr>
          <w:p w14:paraId="17A2EF3D" w14:textId="1C2927FA" w:rsidR="008D5964" w:rsidRPr="002D255E" w:rsidRDefault="008D5964" w:rsidP="00CA32C2">
            <w:pPr>
              <w:spacing w:after="0"/>
              <w:rPr>
                <w:rFonts w:eastAsia="Times New Roman" w:cs="Arial"/>
                <w:b/>
                <w:lang w:eastAsia="en-GB"/>
              </w:rPr>
            </w:pPr>
          </w:p>
        </w:tc>
      </w:tr>
      <w:tr w:rsidR="008D5964" w:rsidRPr="002D255E" w14:paraId="121D5EF6" w14:textId="77777777" w:rsidTr="7234176C">
        <w:trPr>
          <w:trHeight w:val="78"/>
          <w:jc w:val="center"/>
        </w:trPr>
        <w:tc>
          <w:tcPr>
            <w:tcW w:w="5227" w:type="dxa"/>
            <w:gridSpan w:val="2"/>
            <w:shd w:val="clear" w:color="auto" w:fill="auto"/>
          </w:tcPr>
          <w:p w14:paraId="44FF10ED" w14:textId="0A359716" w:rsidR="008D5964" w:rsidRPr="002D255E" w:rsidRDefault="008D5964" w:rsidP="00E0264C">
            <w:pPr>
              <w:spacing w:after="0"/>
              <w:rPr>
                <w:rFonts w:cs="Arial"/>
                <w:bCs/>
                <w:lang w:eastAsia="en-GB"/>
              </w:rPr>
            </w:pPr>
          </w:p>
        </w:tc>
        <w:tc>
          <w:tcPr>
            <w:tcW w:w="5228" w:type="dxa"/>
            <w:shd w:val="clear" w:color="auto" w:fill="auto"/>
          </w:tcPr>
          <w:p w14:paraId="08391D15" w14:textId="08965488" w:rsidR="008D5964" w:rsidRPr="002D255E" w:rsidRDefault="008D5964" w:rsidP="008D5964">
            <w:pPr>
              <w:spacing w:after="0"/>
              <w:rPr>
                <w:rFonts w:cs="Arial"/>
                <w:lang w:eastAsia="en-GB"/>
              </w:rPr>
            </w:pPr>
          </w:p>
        </w:tc>
      </w:tr>
      <w:tr w:rsidR="008D5964" w:rsidRPr="002D255E" w14:paraId="17877724" w14:textId="77777777" w:rsidTr="7234176C">
        <w:trPr>
          <w:trHeight w:val="78"/>
          <w:jc w:val="center"/>
        </w:trPr>
        <w:tc>
          <w:tcPr>
            <w:tcW w:w="5227" w:type="dxa"/>
            <w:gridSpan w:val="2"/>
            <w:tcBorders>
              <w:bottom w:val="single" w:sz="4" w:space="0" w:color="auto"/>
            </w:tcBorders>
            <w:shd w:val="clear" w:color="auto" w:fill="auto"/>
          </w:tcPr>
          <w:p w14:paraId="0EC60364" w14:textId="0FCC82F2" w:rsidR="008D5964" w:rsidRPr="002D255E" w:rsidRDefault="008D5964" w:rsidP="00CA32C2">
            <w:pPr>
              <w:spacing w:after="0"/>
              <w:rPr>
                <w:rFonts w:eastAsia="Times New Roman" w:cs="Arial"/>
                <w:lang w:eastAsia="en-GB"/>
              </w:rPr>
            </w:pPr>
          </w:p>
        </w:tc>
        <w:tc>
          <w:tcPr>
            <w:tcW w:w="5228" w:type="dxa"/>
            <w:tcBorders>
              <w:bottom w:val="single" w:sz="4" w:space="0" w:color="auto"/>
            </w:tcBorders>
            <w:shd w:val="clear" w:color="auto" w:fill="auto"/>
          </w:tcPr>
          <w:p w14:paraId="5D7CCB13" w14:textId="44F1EAE1" w:rsidR="008D5964" w:rsidRPr="002D255E" w:rsidRDefault="008D5964" w:rsidP="00CA32C2">
            <w:pPr>
              <w:spacing w:after="0"/>
              <w:rPr>
                <w:rFonts w:eastAsia="Times New Roman" w:cs="Arial"/>
                <w:lang w:eastAsia="en-GB"/>
              </w:rPr>
            </w:pPr>
          </w:p>
        </w:tc>
      </w:tr>
      <w:tr w:rsidR="00CA32C2" w:rsidRPr="002D255E" w14:paraId="12B2F548" w14:textId="77777777" w:rsidTr="7234176C">
        <w:trPr>
          <w:trHeight w:val="78"/>
          <w:jc w:val="center"/>
        </w:trPr>
        <w:tc>
          <w:tcPr>
            <w:tcW w:w="5227" w:type="dxa"/>
            <w:gridSpan w:val="2"/>
            <w:tcBorders>
              <w:bottom w:val="single" w:sz="4" w:space="0" w:color="auto"/>
            </w:tcBorders>
            <w:shd w:val="clear" w:color="auto" w:fill="auto"/>
          </w:tcPr>
          <w:p w14:paraId="7B28C277" w14:textId="77777777" w:rsidR="00CA32C2" w:rsidRPr="002D255E" w:rsidRDefault="00CA32C2" w:rsidP="00CA32C2">
            <w:pPr>
              <w:spacing w:after="0"/>
              <w:rPr>
                <w:rFonts w:eastAsia="Times New Roman" w:cs="Arial"/>
                <w:b/>
                <w:lang w:eastAsia="en-GB"/>
              </w:rPr>
            </w:pPr>
          </w:p>
        </w:tc>
        <w:tc>
          <w:tcPr>
            <w:tcW w:w="5228" w:type="dxa"/>
            <w:tcBorders>
              <w:bottom w:val="single" w:sz="4" w:space="0" w:color="auto"/>
            </w:tcBorders>
            <w:shd w:val="clear" w:color="auto" w:fill="auto"/>
          </w:tcPr>
          <w:p w14:paraId="65B959B2" w14:textId="33C84326" w:rsidR="00CA32C2" w:rsidRPr="002D255E" w:rsidRDefault="00CA32C2" w:rsidP="00CA32C2">
            <w:pPr>
              <w:tabs>
                <w:tab w:val="left" w:pos="1089"/>
              </w:tabs>
              <w:spacing w:after="0"/>
              <w:rPr>
                <w:rFonts w:eastAsia="Times New Roman" w:cs="Arial"/>
                <w:lang w:eastAsia="en-GB"/>
              </w:rPr>
            </w:pPr>
          </w:p>
        </w:tc>
      </w:tr>
      <w:tr w:rsidR="008D5964" w:rsidRPr="002D255E" w14:paraId="2008B3A6" w14:textId="77777777" w:rsidTr="7234176C">
        <w:trPr>
          <w:jc w:val="center"/>
        </w:trPr>
        <w:tc>
          <w:tcPr>
            <w:tcW w:w="10455" w:type="dxa"/>
            <w:gridSpan w:val="3"/>
            <w:tcBorders>
              <w:bottom w:val="nil"/>
            </w:tcBorders>
            <w:shd w:val="clear" w:color="auto" w:fill="F2F2F2" w:themeFill="background1" w:themeFillShade="F2"/>
          </w:tcPr>
          <w:p w14:paraId="077ED3AB" w14:textId="17AE4BBA" w:rsidR="008D5964" w:rsidRPr="002D255E" w:rsidRDefault="008D5964" w:rsidP="008D5964">
            <w:pPr>
              <w:pStyle w:val="Heading1"/>
              <w:tabs>
                <w:tab w:val="right" w:pos="10240"/>
              </w:tabs>
              <w:ind w:left="599" w:hanging="599"/>
              <w:rPr>
                <w:lang w:eastAsia="en-GB"/>
              </w:rPr>
            </w:pPr>
            <w:bookmarkStart w:id="11" w:name="Ten_advice_to_patients"/>
            <w:bookmarkEnd w:id="11"/>
            <w:r w:rsidRPr="002D255E">
              <w:rPr>
                <w:lang w:eastAsia="en-GB"/>
              </w:rPr>
              <w:t>Advice to patients and carers</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3F28EC94" w14:textId="278AF31B" w:rsidR="008D5964" w:rsidRPr="002D255E" w:rsidRDefault="008D5964" w:rsidP="00166E03">
            <w:pPr>
              <w:spacing w:after="120" w:line="240" w:lineRule="auto"/>
              <w:rPr>
                <w:lang w:eastAsia="en-GB"/>
              </w:rPr>
            </w:pPr>
            <w:r w:rsidRPr="00924775">
              <w:rPr>
                <w:sz w:val="22"/>
                <w:szCs w:val="20"/>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0978B8" w:rsidRPr="002D255E" w14:paraId="2A2B1EB7" w14:textId="77777777" w:rsidTr="7234176C">
        <w:trPr>
          <w:jc w:val="center"/>
        </w:trPr>
        <w:tc>
          <w:tcPr>
            <w:tcW w:w="10455" w:type="dxa"/>
            <w:gridSpan w:val="3"/>
            <w:tcBorders>
              <w:top w:val="nil"/>
              <w:bottom w:val="single" w:sz="4" w:space="0" w:color="auto"/>
            </w:tcBorders>
            <w:shd w:val="clear" w:color="auto" w:fill="auto"/>
          </w:tcPr>
          <w:p w14:paraId="429A3470" w14:textId="77777777" w:rsidR="000978B8" w:rsidRPr="00924775" w:rsidRDefault="000978B8" w:rsidP="000978B8">
            <w:pPr>
              <w:spacing w:before="60" w:after="60" w:line="240" w:lineRule="auto"/>
              <w:rPr>
                <w:rFonts w:eastAsia="Times New Roman" w:cs="Arial"/>
                <w:b/>
                <w:sz w:val="22"/>
                <w:lang w:eastAsia="en-GB"/>
              </w:rPr>
            </w:pPr>
            <w:r w:rsidRPr="00924775">
              <w:rPr>
                <w:rFonts w:eastAsia="Times New Roman" w:cs="Arial"/>
                <w:b/>
                <w:sz w:val="22"/>
                <w:lang w:eastAsia="en-GB"/>
              </w:rPr>
              <w:t xml:space="preserve">The patient should be advised to report any of the following signs or symptoms to their primary care prescriber without delay:          </w:t>
            </w:r>
          </w:p>
          <w:p w14:paraId="6853E467" w14:textId="77777777" w:rsidR="000978B8" w:rsidRPr="00924775" w:rsidRDefault="000978B8" w:rsidP="00E0264C">
            <w:pPr>
              <w:pStyle w:val="ListParagraph"/>
              <w:numPr>
                <w:ilvl w:val="0"/>
                <w:numId w:val="19"/>
              </w:numPr>
              <w:spacing w:before="60" w:after="60" w:line="240" w:lineRule="auto"/>
              <w:ind w:left="306" w:hanging="306"/>
              <w:rPr>
                <w:rFonts w:eastAsia="Times New Roman" w:cs="Arial"/>
                <w:sz w:val="22"/>
                <w:lang w:eastAsia="en-GB"/>
              </w:rPr>
            </w:pPr>
          </w:p>
          <w:p w14:paraId="58F490A9" w14:textId="77777777" w:rsidR="00E0264C" w:rsidRPr="00924775" w:rsidRDefault="00E0264C" w:rsidP="00E0264C">
            <w:pPr>
              <w:pStyle w:val="ListParagraph"/>
              <w:numPr>
                <w:ilvl w:val="0"/>
                <w:numId w:val="19"/>
              </w:numPr>
              <w:spacing w:before="60" w:after="60" w:line="240" w:lineRule="auto"/>
              <w:ind w:left="306" w:hanging="284"/>
              <w:rPr>
                <w:rFonts w:eastAsia="Times New Roman" w:cs="Arial"/>
                <w:sz w:val="22"/>
                <w:lang w:eastAsia="en-GB"/>
              </w:rPr>
            </w:pPr>
          </w:p>
          <w:p w14:paraId="7C1374A4" w14:textId="77777777" w:rsidR="00E0264C" w:rsidRPr="00924775" w:rsidRDefault="00E0264C" w:rsidP="00E0264C">
            <w:pPr>
              <w:spacing w:before="60" w:after="60" w:line="240" w:lineRule="auto"/>
              <w:rPr>
                <w:rFonts w:eastAsia="Times New Roman" w:cs="Arial"/>
                <w:sz w:val="22"/>
                <w:lang w:eastAsia="en-GB"/>
              </w:rPr>
            </w:pPr>
          </w:p>
          <w:p w14:paraId="60E35616" w14:textId="77777777" w:rsidR="00E0264C" w:rsidRPr="00924775" w:rsidRDefault="00E0264C" w:rsidP="00E0264C">
            <w:pPr>
              <w:spacing w:before="60" w:after="60" w:line="240" w:lineRule="auto"/>
              <w:rPr>
                <w:rFonts w:eastAsia="Times New Roman" w:cs="Arial"/>
                <w:sz w:val="22"/>
                <w:lang w:eastAsia="en-GB"/>
              </w:rPr>
            </w:pPr>
          </w:p>
          <w:p w14:paraId="756E2F3D" w14:textId="77777777" w:rsidR="000978B8" w:rsidRPr="00924775" w:rsidRDefault="000978B8" w:rsidP="000978B8">
            <w:pPr>
              <w:spacing w:before="60" w:after="60" w:line="240" w:lineRule="auto"/>
              <w:rPr>
                <w:rFonts w:eastAsia="Times New Roman" w:cs="Arial"/>
                <w:b/>
                <w:sz w:val="22"/>
                <w:lang w:eastAsia="en-GB"/>
              </w:rPr>
            </w:pPr>
            <w:r w:rsidRPr="00924775">
              <w:rPr>
                <w:rFonts w:eastAsia="Times New Roman" w:cs="Arial"/>
                <w:b/>
                <w:sz w:val="22"/>
                <w:lang w:eastAsia="en-GB"/>
              </w:rPr>
              <w:t>The patient and/or carer should be advised:</w:t>
            </w:r>
          </w:p>
          <w:p w14:paraId="1F171F9D" w14:textId="77777777" w:rsidR="000978B8" w:rsidRPr="00924775" w:rsidRDefault="000978B8" w:rsidP="005201FF">
            <w:pPr>
              <w:pStyle w:val="ListParagraph"/>
              <w:numPr>
                <w:ilvl w:val="0"/>
                <w:numId w:val="3"/>
              </w:numPr>
              <w:spacing w:after="0" w:line="240" w:lineRule="auto"/>
              <w:ind w:left="357" w:hanging="357"/>
              <w:contextualSpacing/>
              <w:rPr>
                <w:rFonts w:eastAsia="Times New Roman" w:cs="Arial"/>
                <w:sz w:val="22"/>
                <w:lang w:eastAsia="en-GB"/>
              </w:rPr>
            </w:pPr>
            <w:r w:rsidRPr="00924775">
              <w:rPr>
                <w:rFonts w:eastAsia="Times New Roman" w:cs="Arial"/>
                <w:sz w:val="22"/>
                <w:lang w:eastAsia="en-GB"/>
              </w:rPr>
              <w:t xml:space="preserve">What shared care means for their treatment, what to expect, and their responsibilities under shared care. </w:t>
            </w:r>
          </w:p>
          <w:p w14:paraId="4550A889" w14:textId="4762A1B5" w:rsidR="005201FF" w:rsidRPr="005201FF" w:rsidRDefault="005201FF" w:rsidP="005201FF">
            <w:pPr>
              <w:pStyle w:val="ListParagraph"/>
              <w:numPr>
                <w:ilvl w:val="0"/>
                <w:numId w:val="3"/>
              </w:numPr>
              <w:spacing w:after="0" w:line="240" w:lineRule="auto"/>
              <w:ind w:left="357" w:hanging="357"/>
              <w:rPr>
                <w:rFonts w:eastAsia="Times New Roman" w:cs="Arial"/>
                <w:sz w:val="22"/>
                <w:lang w:eastAsia="en-GB"/>
              </w:rPr>
            </w:pPr>
            <w:r w:rsidRPr="005201FF">
              <w:rPr>
                <w:rFonts w:eastAsia="Times New Roman" w:cs="Arial"/>
                <w:sz w:val="22"/>
                <w:lang w:eastAsia="en-GB"/>
              </w:rPr>
              <w:t xml:space="preserve">Tell anyone who prescribes them a medicine that they are taking </w:t>
            </w:r>
            <w:r w:rsidRPr="005201FF">
              <w:rPr>
                <w:rFonts w:eastAsia="Times New Roman" w:cs="Arial"/>
                <w:color w:val="FF0000"/>
                <w:sz w:val="22"/>
                <w:lang w:eastAsia="en-GB"/>
              </w:rPr>
              <w:t>enter medicine name</w:t>
            </w:r>
            <w:r w:rsidRPr="005201FF">
              <w:rPr>
                <w:rFonts w:eastAsia="Times New Roman" w:cs="Arial"/>
                <w:sz w:val="22"/>
                <w:lang w:eastAsia="en-GB"/>
              </w:rPr>
              <w:t>. Always ask a pharmacist before purchasing any medicines over the counter, including herbal remedies, and ask if they are safe.</w:t>
            </w:r>
          </w:p>
          <w:p w14:paraId="4E708292" w14:textId="77777777" w:rsidR="00E0264C" w:rsidRPr="00924775" w:rsidRDefault="00E0264C" w:rsidP="000978B8">
            <w:pPr>
              <w:pStyle w:val="ListParagraph"/>
              <w:numPr>
                <w:ilvl w:val="0"/>
                <w:numId w:val="3"/>
              </w:numPr>
              <w:spacing w:before="60" w:after="60" w:line="240" w:lineRule="auto"/>
              <w:ind w:left="357" w:hanging="357"/>
              <w:contextualSpacing/>
              <w:rPr>
                <w:rFonts w:eastAsia="Times New Roman" w:cs="Arial"/>
                <w:sz w:val="22"/>
                <w:lang w:eastAsia="en-GB"/>
              </w:rPr>
            </w:pPr>
          </w:p>
          <w:p w14:paraId="4D60774D" w14:textId="77777777" w:rsidR="000978B8" w:rsidRPr="00924775" w:rsidRDefault="000978B8" w:rsidP="000978B8">
            <w:pPr>
              <w:spacing w:before="60" w:after="60" w:line="240" w:lineRule="auto"/>
              <w:rPr>
                <w:rFonts w:eastAsia="Times New Roman" w:cs="Arial"/>
                <w:sz w:val="22"/>
                <w:lang w:eastAsia="en-GB"/>
              </w:rPr>
            </w:pPr>
          </w:p>
          <w:p w14:paraId="08CDA363" w14:textId="77777777" w:rsidR="000978B8" w:rsidRPr="00924775" w:rsidRDefault="000978B8" w:rsidP="000978B8">
            <w:pPr>
              <w:spacing w:before="60" w:after="60" w:line="240" w:lineRule="auto"/>
              <w:rPr>
                <w:rFonts w:eastAsia="Times New Roman" w:cs="Arial"/>
                <w:sz w:val="22"/>
                <w:lang w:eastAsia="en-GB"/>
              </w:rPr>
            </w:pPr>
            <w:r w:rsidRPr="00924775">
              <w:rPr>
                <w:rFonts w:eastAsia="Times New Roman" w:cs="Arial"/>
                <w:sz w:val="22"/>
                <w:u w:val="single"/>
                <w:lang w:eastAsia="en-GB"/>
              </w:rPr>
              <w:t>Patient information</w:t>
            </w:r>
            <w:r w:rsidRPr="00924775">
              <w:rPr>
                <w:rFonts w:eastAsia="Times New Roman" w:cs="Arial"/>
                <w:sz w:val="22"/>
                <w:lang w:eastAsia="en-GB"/>
              </w:rPr>
              <w:t>:</w:t>
            </w:r>
          </w:p>
          <w:p w14:paraId="54A71DB2" w14:textId="76297D43" w:rsidR="000978B8" w:rsidRPr="002D255E" w:rsidRDefault="000978B8" w:rsidP="000978B8">
            <w:pPr>
              <w:autoSpaceDE w:val="0"/>
              <w:autoSpaceDN w:val="0"/>
              <w:adjustRightInd w:val="0"/>
              <w:spacing w:before="60" w:after="60"/>
              <w:rPr>
                <w:rFonts w:cs="Arial"/>
                <w:color w:val="000000"/>
                <w:szCs w:val="24"/>
              </w:rPr>
            </w:pPr>
          </w:p>
        </w:tc>
      </w:tr>
      <w:tr w:rsidR="000978B8" w:rsidRPr="002D255E" w14:paraId="79305DF7" w14:textId="77777777" w:rsidTr="7234176C">
        <w:trPr>
          <w:jc w:val="center"/>
        </w:trPr>
        <w:tc>
          <w:tcPr>
            <w:tcW w:w="10455" w:type="dxa"/>
            <w:gridSpan w:val="3"/>
            <w:tcBorders>
              <w:bottom w:val="nil"/>
            </w:tcBorders>
            <w:shd w:val="clear" w:color="auto" w:fill="F2F2F2" w:themeFill="background1" w:themeFillShade="F2"/>
          </w:tcPr>
          <w:p w14:paraId="2E2ABBD7" w14:textId="4FC17E28" w:rsidR="000978B8" w:rsidRPr="002D255E" w:rsidRDefault="000978B8" w:rsidP="000978B8">
            <w:pPr>
              <w:pStyle w:val="Heading1"/>
              <w:tabs>
                <w:tab w:val="right" w:pos="10240"/>
              </w:tabs>
              <w:ind w:left="599" w:hanging="599"/>
              <w:rPr>
                <w:lang w:eastAsia="en-GB"/>
              </w:rPr>
            </w:pPr>
            <w:bookmarkStart w:id="12" w:name="Eleven_pregnancy_paternity"/>
            <w:bookmarkEnd w:id="12"/>
            <w:r w:rsidRPr="002D255E">
              <w:rPr>
                <w:lang w:eastAsia="en-GB"/>
              </w:rPr>
              <w:t>Pregnancy, paternal exposure and breast feeding</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5B7A2D80" w14:textId="6DA40E78" w:rsidR="000978B8" w:rsidRPr="002D255E" w:rsidRDefault="000978B8" w:rsidP="00166E03">
            <w:pPr>
              <w:spacing w:after="120" w:line="240" w:lineRule="auto"/>
              <w:rPr>
                <w:color w:val="000000"/>
                <w:lang w:eastAsia="en-GB"/>
              </w:rPr>
            </w:pPr>
            <w:r w:rsidRPr="00924775">
              <w:rPr>
                <w:sz w:val="22"/>
                <w:szCs w:val="20"/>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r w:rsidR="005201FF">
              <w:rPr>
                <w:sz w:val="22"/>
                <w:szCs w:val="20"/>
                <w:lang w:eastAsia="en-GB"/>
              </w:rPr>
              <w:t xml:space="preserve"> </w:t>
            </w:r>
            <w:r w:rsidR="005201FF" w:rsidRPr="005201FF">
              <w:rPr>
                <w:i/>
                <w:iCs/>
                <w:color w:val="FF0000"/>
                <w:sz w:val="22"/>
                <w:szCs w:val="20"/>
                <w:lang w:eastAsia="en-GB"/>
              </w:rPr>
              <w:t>Amend as applicable.</w:t>
            </w:r>
          </w:p>
        </w:tc>
      </w:tr>
      <w:tr w:rsidR="000978B8" w:rsidRPr="002D255E" w14:paraId="24C2F939" w14:textId="77777777" w:rsidTr="7234176C">
        <w:trPr>
          <w:jc w:val="center"/>
        </w:trPr>
        <w:tc>
          <w:tcPr>
            <w:tcW w:w="10455" w:type="dxa"/>
            <w:gridSpan w:val="3"/>
            <w:tcBorders>
              <w:top w:val="nil"/>
              <w:bottom w:val="single" w:sz="4" w:space="0" w:color="auto"/>
            </w:tcBorders>
            <w:shd w:val="clear" w:color="auto" w:fill="auto"/>
          </w:tcPr>
          <w:p w14:paraId="77378166" w14:textId="77777777" w:rsidR="000978B8" w:rsidRPr="00924775" w:rsidRDefault="000978B8" w:rsidP="000978B8">
            <w:pPr>
              <w:autoSpaceDE w:val="0"/>
              <w:autoSpaceDN w:val="0"/>
              <w:adjustRightInd w:val="0"/>
              <w:spacing w:before="60" w:after="60" w:line="240" w:lineRule="auto"/>
              <w:rPr>
                <w:rFonts w:eastAsia="Times New Roman" w:cstheme="minorHAnsi"/>
                <w:b/>
                <w:color w:val="000000"/>
                <w:sz w:val="22"/>
                <w:szCs w:val="20"/>
                <w:lang w:eastAsia="en-GB"/>
              </w:rPr>
            </w:pPr>
            <w:r w:rsidRPr="00924775">
              <w:rPr>
                <w:rFonts w:eastAsia="Times New Roman" w:cstheme="minorHAnsi"/>
                <w:b/>
                <w:color w:val="000000"/>
                <w:sz w:val="22"/>
                <w:szCs w:val="20"/>
                <w:u w:val="single"/>
                <w:lang w:eastAsia="en-GB"/>
              </w:rPr>
              <w:t>Pregnancy</w:t>
            </w:r>
            <w:r w:rsidRPr="00924775">
              <w:rPr>
                <w:rFonts w:eastAsia="Times New Roman" w:cstheme="minorHAnsi"/>
                <w:b/>
                <w:color w:val="000000"/>
                <w:sz w:val="22"/>
                <w:szCs w:val="20"/>
                <w:lang w:eastAsia="en-GB"/>
              </w:rPr>
              <w:t>:</w:t>
            </w:r>
          </w:p>
          <w:p w14:paraId="2EBECBAF" w14:textId="77777777" w:rsidR="000978B8" w:rsidRPr="00924775" w:rsidRDefault="000978B8" w:rsidP="000978B8">
            <w:pPr>
              <w:autoSpaceDE w:val="0"/>
              <w:autoSpaceDN w:val="0"/>
              <w:adjustRightInd w:val="0"/>
              <w:spacing w:before="60" w:after="60" w:line="240" w:lineRule="auto"/>
              <w:rPr>
                <w:rFonts w:eastAsia="Times New Roman" w:cstheme="minorHAnsi"/>
                <w:color w:val="000000"/>
                <w:sz w:val="22"/>
                <w:szCs w:val="20"/>
                <w:u w:val="single"/>
                <w:lang w:eastAsia="en-GB"/>
              </w:rPr>
            </w:pPr>
          </w:p>
          <w:p w14:paraId="08BE8E7C" w14:textId="77777777" w:rsidR="00E0264C" w:rsidRPr="00924775" w:rsidRDefault="00E0264C" w:rsidP="000978B8">
            <w:pPr>
              <w:autoSpaceDE w:val="0"/>
              <w:autoSpaceDN w:val="0"/>
              <w:adjustRightInd w:val="0"/>
              <w:spacing w:before="60" w:after="60" w:line="240" w:lineRule="auto"/>
              <w:rPr>
                <w:rFonts w:eastAsia="Times New Roman" w:cstheme="minorHAnsi"/>
                <w:color w:val="000000"/>
                <w:sz w:val="22"/>
                <w:szCs w:val="20"/>
                <w:u w:val="single"/>
                <w:lang w:eastAsia="en-GB"/>
              </w:rPr>
            </w:pPr>
          </w:p>
          <w:p w14:paraId="6898D0FD" w14:textId="77777777" w:rsidR="000978B8" w:rsidRPr="00924775" w:rsidRDefault="000978B8" w:rsidP="000978B8">
            <w:pPr>
              <w:autoSpaceDE w:val="0"/>
              <w:autoSpaceDN w:val="0"/>
              <w:adjustRightInd w:val="0"/>
              <w:spacing w:before="60" w:after="60" w:line="240" w:lineRule="auto"/>
              <w:rPr>
                <w:rFonts w:eastAsia="Times New Roman" w:cstheme="minorHAnsi"/>
                <w:b/>
                <w:color w:val="000000"/>
                <w:sz w:val="22"/>
                <w:szCs w:val="20"/>
                <w:lang w:eastAsia="en-GB"/>
              </w:rPr>
            </w:pPr>
            <w:r w:rsidRPr="00924775">
              <w:rPr>
                <w:rFonts w:eastAsia="Times New Roman" w:cstheme="minorHAnsi"/>
                <w:b/>
                <w:color w:val="000000"/>
                <w:sz w:val="22"/>
                <w:szCs w:val="20"/>
                <w:u w:val="single"/>
                <w:lang w:eastAsia="en-GB"/>
              </w:rPr>
              <w:t>Breastfeeding</w:t>
            </w:r>
            <w:r w:rsidRPr="00924775">
              <w:rPr>
                <w:rFonts w:eastAsia="Times New Roman" w:cstheme="minorHAnsi"/>
                <w:b/>
                <w:color w:val="000000"/>
                <w:sz w:val="22"/>
                <w:szCs w:val="20"/>
                <w:lang w:eastAsia="en-GB"/>
              </w:rPr>
              <w:t>:</w:t>
            </w:r>
          </w:p>
          <w:p w14:paraId="7610C139" w14:textId="77777777" w:rsidR="000978B8" w:rsidRPr="00924775" w:rsidRDefault="000978B8" w:rsidP="000978B8">
            <w:pPr>
              <w:autoSpaceDE w:val="0"/>
              <w:autoSpaceDN w:val="0"/>
              <w:adjustRightInd w:val="0"/>
              <w:spacing w:before="60" w:after="60" w:line="240" w:lineRule="auto"/>
              <w:rPr>
                <w:rFonts w:eastAsia="Times New Roman" w:cstheme="minorHAnsi"/>
                <w:color w:val="000000"/>
                <w:sz w:val="22"/>
                <w:szCs w:val="20"/>
                <w:lang w:eastAsia="en-GB"/>
              </w:rPr>
            </w:pPr>
          </w:p>
          <w:p w14:paraId="1A761746" w14:textId="77777777" w:rsidR="00E0264C" w:rsidRPr="00924775" w:rsidRDefault="00E0264C" w:rsidP="000978B8">
            <w:pPr>
              <w:autoSpaceDE w:val="0"/>
              <w:autoSpaceDN w:val="0"/>
              <w:adjustRightInd w:val="0"/>
              <w:spacing w:before="60" w:after="60" w:line="240" w:lineRule="auto"/>
              <w:rPr>
                <w:rFonts w:eastAsia="Times New Roman" w:cstheme="minorHAnsi"/>
                <w:color w:val="000000"/>
                <w:sz w:val="22"/>
                <w:szCs w:val="20"/>
                <w:lang w:eastAsia="en-GB"/>
              </w:rPr>
            </w:pPr>
          </w:p>
          <w:p w14:paraId="052F5546" w14:textId="77777777" w:rsidR="00E0264C" w:rsidRPr="00924775" w:rsidRDefault="00E0264C" w:rsidP="000978B8">
            <w:pPr>
              <w:autoSpaceDE w:val="0"/>
              <w:autoSpaceDN w:val="0"/>
              <w:adjustRightInd w:val="0"/>
              <w:spacing w:before="60" w:after="60" w:line="240" w:lineRule="auto"/>
              <w:rPr>
                <w:rFonts w:eastAsia="Times New Roman" w:cstheme="minorHAnsi"/>
                <w:color w:val="000000"/>
                <w:sz w:val="22"/>
                <w:szCs w:val="20"/>
                <w:lang w:eastAsia="en-GB"/>
              </w:rPr>
            </w:pPr>
          </w:p>
          <w:p w14:paraId="7BD1A1E9" w14:textId="77777777" w:rsidR="000978B8" w:rsidRPr="00924775" w:rsidRDefault="000978B8" w:rsidP="000978B8">
            <w:pPr>
              <w:autoSpaceDE w:val="0"/>
              <w:autoSpaceDN w:val="0"/>
              <w:adjustRightInd w:val="0"/>
              <w:spacing w:before="60" w:after="60" w:line="240" w:lineRule="auto"/>
              <w:rPr>
                <w:rFonts w:eastAsia="Times New Roman" w:cstheme="minorHAnsi"/>
                <w:color w:val="000000"/>
                <w:sz w:val="22"/>
                <w:szCs w:val="20"/>
                <w:lang w:eastAsia="en-GB"/>
              </w:rPr>
            </w:pPr>
            <w:r w:rsidRPr="00924775">
              <w:rPr>
                <w:rFonts w:eastAsia="Times New Roman" w:cstheme="minorHAnsi"/>
                <w:b/>
                <w:color w:val="000000"/>
                <w:sz w:val="22"/>
                <w:szCs w:val="20"/>
                <w:u w:val="single"/>
                <w:lang w:eastAsia="en-GB"/>
              </w:rPr>
              <w:t>Paternal exposure</w:t>
            </w:r>
            <w:r w:rsidRPr="00924775">
              <w:rPr>
                <w:rFonts w:eastAsia="Times New Roman" w:cstheme="minorHAnsi"/>
                <w:color w:val="000000"/>
                <w:sz w:val="22"/>
                <w:szCs w:val="20"/>
                <w:lang w:eastAsia="en-GB"/>
              </w:rPr>
              <w:t>:</w:t>
            </w:r>
          </w:p>
          <w:p w14:paraId="2919C2C5" w14:textId="5AD204CE" w:rsidR="000978B8" w:rsidRPr="00924775" w:rsidRDefault="00425A20" w:rsidP="000978B8">
            <w:pPr>
              <w:autoSpaceDE w:val="0"/>
              <w:autoSpaceDN w:val="0"/>
              <w:adjustRightInd w:val="0"/>
              <w:spacing w:before="60" w:after="60" w:line="240" w:lineRule="auto"/>
              <w:rPr>
                <w:rFonts w:eastAsia="Times New Roman" w:cstheme="minorHAnsi"/>
                <w:i/>
                <w:iCs/>
                <w:color w:val="FF0000"/>
                <w:sz w:val="22"/>
                <w:szCs w:val="20"/>
                <w:lang w:eastAsia="en-GB"/>
              </w:rPr>
            </w:pPr>
            <w:r w:rsidRPr="00924775">
              <w:rPr>
                <w:rFonts w:eastAsia="Times New Roman" w:cstheme="minorHAnsi"/>
                <w:i/>
                <w:iCs/>
                <w:color w:val="FF0000"/>
                <w:sz w:val="22"/>
                <w:szCs w:val="20"/>
                <w:lang w:eastAsia="en-GB"/>
              </w:rPr>
              <w:t>If applicable</w:t>
            </w:r>
          </w:p>
          <w:p w14:paraId="50C0F8CF" w14:textId="77777777" w:rsidR="00E0264C" w:rsidRPr="00924775" w:rsidRDefault="00E0264C" w:rsidP="000978B8">
            <w:pPr>
              <w:autoSpaceDE w:val="0"/>
              <w:autoSpaceDN w:val="0"/>
              <w:adjustRightInd w:val="0"/>
              <w:spacing w:before="60" w:after="60" w:line="240" w:lineRule="auto"/>
              <w:rPr>
                <w:rFonts w:eastAsia="Times New Roman" w:cstheme="minorHAnsi"/>
                <w:color w:val="000000"/>
                <w:sz w:val="22"/>
                <w:szCs w:val="20"/>
                <w:lang w:eastAsia="en-GB"/>
              </w:rPr>
            </w:pPr>
          </w:p>
          <w:p w14:paraId="6484E2DD" w14:textId="77777777" w:rsidR="00E0264C" w:rsidRPr="00924775" w:rsidRDefault="00E0264C" w:rsidP="000978B8">
            <w:pPr>
              <w:autoSpaceDE w:val="0"/>
              <w:autoSpaceDN w:val="0"/>
              <w:adjustRightInd w:val="0"/>
              <w:spacing w:before="60" w:after="60" w:line="240" w:lineRule="auto"/>
              <w:rPr>
                <w:rFonts w:eastAsia="Times New Roman" w:cstheme="minorHAnsi"/>
                <w:color w:val="000000"/>
                <w:sz w:val="22"/>
                <w:szCs w:val="20"/>
                <w:lang w:eastAsia="en-GB"/>
              </w:rPr>
            </w:pPr>
          </w:p>
          <w:p w14:paraId="5C51CBEB" w14:textId="77777777" w:rsidR="000978B8" w:rsidRPr="00924775" w:rsidRDefault="000978B8" w:rsidP="000978B8">
            <w:pPr>
              <w:autoSpaceDE w:val="0"/>
              <w:autoSpaceDN w:val="0"/>
              <w:adjustRightInd w:val="0"/>
              <w:spacing w:before="60" w:after="60" w:line="240" w:lineRule="auto"/>
              <w:rPr>
                <w:rFonts w:eastAsia="Times New Roman" w:cstheme="minorHAnsi"/>
                <w:color w:val="000000"/>
                <w:sz w:val="22"/>
                <w:szCs w:val="20"/>
                <w:lang w:eastAsia="en-GB"/>
              </w:rPr>
            </w:pPr>
            <w:r w:rsidRPr="00924775">
              <w:rPr>
                <w:rFonts w:eastAsia="Times New Roman" w:cstheme="minorHAnsi"/>
                <w:b/>
                <w:color w:val="000000"/>
                <w:sz w:val="22"/>
                <w:szCs w:val="20"/>
                <w:u w:val="single"/>
                <w:lang w:eastAsia="en-GB"/>
              </w:rPr>
              <w:t>Fertility</w:t>
            </w:r>
            <w:r w:rsidRPr="00924775">
              <w:rPr>
                <w:rFonts w:eastAsia="Times New Roman" w:cstheme="minorHAnsi"/>
                <w:color w:val="000000"/>
                <w:sz w:val="22"/>
                <w:szCs w:val="20"/>
                <w:lang w:eastAsia="en-GB"/>
              </w:rPr>
              <w:t>:</w:t>
            </w:r>
          </w:p>
          <w:p w14:paraId="76CF7F3B" w14:textId="77777777" w:rsidR="00425A20" w:rsidRPr="00924775" w:rsidRDefault="00425A20" w:rsidP="00425A20">
            <w:pPr>
              <w:autoSpaceDE w:val="0"/>
              <w:autoSpaceDN w:val="0"/>
              <w:adjustRightInd w:val="0"/>
              <w:spacing w:before="60" w:after="60" w:line="240" w:lineRule="auto"/>
              <w:rPr>
                <w:rFonts w:eastAsia="Times New Roman" w:cstheme="minorHAnsi"/>
                <w:i/>
                <w:iCs/>
                <w:color w:val="FF0000"/>
                <w:sz w:val="22"/>
                <w:szCs w:val="20"/>
                <w:lang w:eastAsia="en-GB"/>
              </w:rPr>
            </w:pPr>
            <w:r w:rsidRPr="00924775">
              <w:rPr>
                <w:rFonts w:eastAsia="Times New Roman" w:cstheme="minorHAnsi"/>
                <w:i/>
                <w:iCs/>
                <w:color w:val="FF0000"/>
                <w:sz w:val="22"/>
                <w:szCs w:val="20"/>
                <w:lang w:eastAsia="en-GB"/>
              </w:rPr>
              <w:t>If applicable</w:t>
            </w:r>
          </w:p>
          <w:p w14:paraId="28BE39FA" w14:textId="78768B6B" w:rsidR="000978B8" w:rsidRPr="002D255E" w:rsidRDefault="000978B8" w:rsidP="000978B8">
            <w:pPr>
              <w:autoSpaceDE w:val="0"/>
              <w:autoSpaceDN w:val="0"/>
              <w:adjustRightInd w:val="0"/>
              <w:spacing w:after="120"/>
              <w:rPr>
                <w:rFonts w:ascii="Calibri" w:hAnsi="Calibri" w:cs="Calibri"/>
                <w:color w:val="000000"/>
                <w:lang w:eastAsia="en-GB"/>
              </w:rPr>
            </w:pPr>
          </w:p>
        </w:tc>
      </w:tr>
    </w:tbl>
    <w:p w14:paraId="73A4DAE7" w14:textId="7F62EDF1" w:rsidR="00846A4A" w:rsidRPr="002D255E" w:rsidRDefault="00846A4A"/>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2D255E" w14:paraId="3A78E10C" w14:textId="77777777" w:rsidTr="007C7494">
        <w:trPr>
          <w:jc w:val="center"/>
        </w:trPr>
        <w:tc>
          <w:tcPr>
            <w:tcW w:w="10455" w:type="dxa"/>
            <w:tcBorders>
              <w:bottom w:val="nil"/>
            </w:tcBorders>
            <w:shd w:val="clear" w:color="auto" w:fill="F2F2F2"/>
          </w:tcPr>
          <w:p w14:paraId="2536982E" w14:textId="5A651A0A" w:rsidR="002C1756" w:rsidRPr="002D255E" w:rsidRDefault="002C1756" w:rsidP="007F3977">
            <w:pPr>
              <w:pStyle w:val="Heading1"/>
              <w:tabs>
                <w:tab w:val="right" w:pos="10238"/>
              </w:tabs>
              <w:ind w:left="599" w:hanging="599"/>
              <w:rPr>
                <w:lang w:eastAsia="en-GB"/>
              </w:rPr>
            </w:pPr>
            <w:bookmarkStart w:id="13" w:name="Twelve_specialist_contact"/>
            <w:bookmarkEnd w:id="13"/>
            <w:r w:rsidRPr="002D255E">
              <w:rPr>
                <w:lang w:eastAsia="en-GB"/>
              </w:rPr>
              <w:t>Specialist contact information</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4CD4F732" w14:textId="77777777" w:rsidTr="007C7494">
        <w:trPr>
          <w:jc w:val="center"/>
        </w:trPr>
        <w:tc>
          <w:tcPr>
            <w:tcW w:w="10455" w:type="dxa"/>
            <w:tcBorders>
              <w:top w:val="nil"/>
              <w:bottom w:val="single" w:sz="4" w:space="0" w:color="auto"/>
            </w:tcBorders>
            <w:shd w:val="clear" w:color="auto" w:fill="auto"/>
          </w:tcPr>
          <w:p w14:paraId="75E36945" w14:textId="77777777" w:rsidR="002C1756" w:rsidRPr="00924775" w:rsidRDefault="002C1756" w:rsidP="002C1756">
            <w:pPr>
              <w:spacing w:before="60" w:after="60" w:line="240" w:lineRule="auto"/>
              <w:rPr>
                <w:rFonts w:eastAsia="Times New Roman" w:cs="Arial"/>
                <w:i/>
                <w:sz w:val="22"/>
                <w:szCs w:val="20"/>
              </w:rPr>
            </w:pPr>
            <w:r w:rsidRPr="00924775">
              <w:rPr>
                <w:rFonts w:eastAsia="Times New Roman" w:cs="Arial"/>
                <w:sz w:val="22"/>
                <w:szCs w:val="20"/>
              </w:rPr>
              <w:t xml:space="preserve">Name: </w:t>
            </w:r>
            <w:r w:rsidRPr="00924775">
              <w:rPr>
                <w:rFonts w:eastAsia="Times New Roman" w:cs="Arial"/>
                <w:i/>
                <w:sz w:val="22"/>
                <w:szCs w:val="20"/>
              </w:rPr>
              <w:fldChar w:fldCharType="begin">
                <w:ffData>
                  <w:name w:val=""/>
                  <w:enabled/>
                  <w:calcOnExit w:val="0"/>
                  <w:textInput>
                    <w:default w:val="[insert name]"/>
                  </w:textInput>
                </w:ffData>
              </w:fldChar>
            </w:r>
            <w:r w:rsidRPr="00924775">
              <w:rPr>
                <w:rFonts w:eastAsia="Times New Roman" w:cs="Arial"/>
                <w:i/>
                <w:sz w:val="22"/>
                <w:szCs w:val="20"/>
              </w:rPr>
              <w:instrText xml:space="preserve"> FORMTEXT </w:instrText>
            </w:r>
            <w:r w:rsidRPr="00924775">
              <w:rPr>
                <w:rFonts w:eastAsia="Times New Roman" w:cs="Arial"/>
                <w:i/>
                <w:sz w:val="22"/>
                <w:szCs w:val="20"/>
              </w:rPr>
            </w:r>
            <w:r w:rsidRPr="00924775">
              <w:rPr>
                <w:rFonts w:eastAsia="Times New Roman" w:cs="Arial"/>
                <w:i/>
                <w:sz w:val="22"/>
                <w:szCs w:val="20"/>
              </w:rPr>
              <w:fldChar w:fldCharType="separate"/>
            </w:r>
            <w:r w:rsidRPr="00924775">
              <w:rPr>
                <w:rFonts w:eastAsia="Times New Roman" w:cs="Arial"/>
                <w:i/>
                <w:noProof/>
                <w:sz w:val="22"/>
                <w:szCs w:val="20"/>
              </w:rPr>
              <w:t>[insert name]</w:t>
            </w:r>
            <w:r w:rsidRPr="00924775">
              <w:rPr>
                <w:rFonts w:eastAsia="Times New Roman" w:cs="Arial"/>
                <w:i/>
                <w:sz w:val="22"/>
                <w:szCs w:val="20"/>
              </w:rPr>
              <w:fldChar w:fldCharType="end"/>
            </w:r>
          </w:p>
          <w:p w14:paraId="304A730E" w14:textId="77777777" w:rsidR="002C1756" w:rsidRPr="00924775" w:rsidRDefault="002C1756" w:rsidP="002C1756">
            <w:pPr>
              <w:spacing w:before="60" w:after="60" w:line="240" w:lineRule="auto"/>
              <w:rPr>
                <w:rFonts w:eastAsia="Times New Roman" w:cs="Arial"/>
                <w:sz w:val="22"/>
                <w:szCs w:val="20"/>
              </w:rPr>
            </w:pPr>
            <w:r w:rsidRPr="00924775">
              <w:rPr>
                <w:rFonts w:eastAsia="Times New Roman" w:cs="Arial"/>
                <w:sz w:val="22"/>
                <w:szCs w:val="20"/>
              </w:rPr>
              <w:t xml:space="preserve">Role and specialty: </w:t>
            </w:r>
            <w:r w:rsidRPr="00924775">
              <w:rPr>
                <w:rFonts w:eastAsia="Times New Roman" w:cs="Arial"/>
                <w:i/>
                <w:sz w:val="22"/>
                <w:szCs w:val="20"/>
              </w:rPr>
              <w:fldChar w:fldCharType="begin">
                <w:ffData>
                  <w:name w:val=""/>
                  <w:enabled/>
                  <w:calcOnExit w:val="0"/>
                  <w:textInput>
                    <w:default w:val="[insert role and specialty]"/>
                  </w:textInput>
                </w:ffData>
              </w:fldChar>
            </w:r>
            <w:r w:rsidRPr="00924775">
              <w:rPr>
                <w:rFonts w:eastAsia="Times New Roman" w:cs="Arial"/>
                <w:i/>
                <w:sz w:val="22"/>
                <w:szCs w:val="20"/>
              </w:rPr>
              <w:instrText xml:space="preserve"> FORMTEXT </w:instrText>
            </w:r>
            <w:r w:rsidRPr="00924775">
              <w:rPr>
                <w:rFonts w:eastAsia="Times New Roman" w:cs="Arial"/>
                <w:i/>
                <w:sz w:val="22"/>
                <w:szCs w:val="20"/>
              </w:rPr>
            </w:r>
            <w:r w:rsidRPr="00924775">
              <w:rPr>
                <w:rFonts w:eastAsia="Times New Roman" w:cs="Arial"/>
                <w:i/>
                <w:sz w:val="22"/>
                <w:szCs w:val="20"/>
              </w:rPr>
              <w:fldChar w:fldCharType="separate"/>
            </w:r>
            <w:r w:rsidRPr="00924775">
              <w:rPr>
                <w:rFonts w:eastAsia="Times New Roman" w:cs="Arial"/>
                <w:i/>
                <w:noProof/>
                <w:sz w:val="22"/>
                <w:szCs w:val="20"/>
              </w:rPr>
              <w:t>[insert role and specialty]</w:t>
            </w:r>
            <w:r w:rsidRPr="00924775">
              <w:rPr>
                <w:rFonts w:eastAsia="Times New Roman" w:cs="Arial"/>
                <w:i/>
                <w:sz w:val="22"/>
                <w:szCs w:val="20"/>
              </w:rPr>
              <w:fldChar w:fldCharType="end"/>
            </w:r>
          </w:p>
          <w:p w14:paraId="332CA4A5" w14:textId="77777777" w:rsidR="002C1756" w:rsidRPr="00924775" w:rsidRDefault="002C1756" w:rsidP="002C1756">
            <w:pPr>
              <w:spacing w:before="60" w:after="60" w:line="240" w:lineRule="auto"/>
              <w:rPr>
                <w:rFonts w:eastAsia="Times New Roman" w:cs="Arial"/>
                <w:i/>
                <w:sz w:val="22"/>
                <w:szCs w:val="20"/>
              </w:rPr>
            </w:pPr>
            <w:r w:rsidRPr="00924775">
              <w:rPr>
                <w:rFonts w:eastAsia="Times New Roman" w:cs="Arial"/>
                <w:sz w:val="22"/>
                <w:szCs w:val="20"/>
              </w:rPr>
              <w:t xml:space="preserve">Daytime telephone number: </w:t>
            </w:r>
            <w:r w:rsidRPr="00924775">
              <w:rPr>
                <w:rFonts w:eastAsia="Times New Roman" w:cs="Arial"/>
                <w:i/>
                <w:sz w:val="22"/>
                <w:szCs w:val="20"/>
              </w:rPr>
              <w:fldChar w:fldCharType="begin">
                <w:ffData>
                  <w:name w:val=""/>
                  <w:enabled/>
                  <w:calcOnExit w:val="0"/>
                  <w:textInput>
                    <w:default w:val="[insert daytime telephone number]"/>
                  </w:textInput>
                </w:ffData>
              </w:fldChar>
            </w:r>
            <w:r w:rsidRPr="00924775">
              <w:rPr>
                <w:rFonts w:eastAsia="Times New Roman" w:cs="Arial"/>
                <w:i/>
                <w:sz w:val="22"/>
                <w:szCs w:val="20"/>
              </w:rPr>
              <w:instrText xml:space="preserve"> FORMTEXT </w:instrText>
            </w:r>
            <w:r w:rsidRPr="00924775">
              <w:rPr>
                <w:rFonts w:eastAsia="Times New Roman" w:cs="Arial"/>
                <w:i/>
                <w:sz w:val="22"/>
                <w:szCs w:val="20"/>
              </w:rPr>
            </w:r>
            <w:r w:rsidRPr="00924775">
              <w:rPr>
                <w:rFonts w:eastAsia="Times New Roman" w:cs="Arial"/>
                <w:i/>
                <w:sz w:val="22"/>
                <w:szCs w:val="20"/>
              </w:rPr>
              <w:fldChar w:fldCharType="separate"/>
            </w:r>
            <w:r w:rsidRPr="00924775">
              <w:rPr>
                <w:rFonts w:eastAsia="Times New Roman" w:cs="Arial"/>
                <w:i/>
                <w:noProof/>
                <w:sz w:val="22"/>
                <w:szCs w:val="20"/>
              </w:rPr>
              <w:t>[insert daytime telephone number]</w:t>
            </w:r>
            <w:r w:rsidRPr="00924775">
              <w:rPr>
                <w:rFonts w:eastAsia="Times New Roman" w:cs="Arial"/>
                <w:i/>
                <w:sz w:val="22"/>
                <w:szCs w:val="20"/>
              </w:rPr>
              <w:fldChar w:fldCharType="end"/>
            </w:r>
          </w:p>
          <w:p w14:paraId="52B52F7F" w14:textId="77777777" w:rsidR="002C1756" w:rsidRPr="00924775" w:rsidRDefault="002C1756" w:rsidP="002C1756">
            <w:pPr>
              <w:spacing w:before="60" w:after="60" w:line="240" w:lineRule="auto"/>
              <w:rPr>
                <w:rFonts w:eastAsia="Times New Roman" w:cs="Arial"/>
                <w:i/>
                <w:sz w:val="22"/>
                <w:szCs w:val="20"/>
              </w:rPr>
            </w:pPr>
            <w:r w:rsidRPr="00924775">
              <w:rPr>
                <w:rFonts w:eastAsia="Times New Roman" w:cs="Arial"/>
                <w:sz w:val="22"/>
                <w:szCs w:val="20"/>
              </w:rPr>
              <w:t xml:space="preserve">Email address: </w:t>
            </w:r>
            <w:r w:rsidRPr="00924775">
              <w:rPr>
                <w:rFonts w:eastAsia="Times New Roman" w:cs="Arial"/>
                <w:i/>
                <w:sz w:val="22"/>
                <w:szCs w:val="20"/>
              </w:rPr>
              <w:fldChar w:fldCharType="begin">
                <w:ffData>
                  <w:name w:val=""/>
                  <w:enabled/>
                  <w:calcOnExit w:val="0"/>
                  <w:textInput>
                    <w:default w:val="[insert email address]"/>
                  </w:textInput>
                </w:ffData>
              </w:fldChar>
            </w:r>
            <w:r w:rsidRPr="00924775">
              <w:rPr>
                <w:rFonts w:eastAsia="Times New Roman" w:cs="Arial"/>
                <w:i/>
                <w:sz w:val="22"/>
                <w:szCs w:val="20"/>
              </w:rPr>
              <w:instrText xml:space="preserve"> FORMTEXT </w:instrText>
            </w:r>
            <w:r w:rsidRPr="00924775">
              <w:rPr>
                <w:rFonts w:eastAsia="Times New Roman" w:cs="Arial"/>
                <w:i/>
                <w:sz w:val="22"/>
                <w:szCs w:val="20"/>
              </w:rPr>
            </w:r>
            <w:r w:rsidRPr="00924775">
              <w:rPr>
                <w:rFonts w:eastAsia="Times New Roman" w:cs="Arial"/>
                <w:i/>
                <w:sz w:val="22"/>
                <w:szCs w:val="20"/>
              </w:rPr>
              <w:fldChar w:fldCharType="separate"/>
            </w:r>
            <w:r w:rsidRPr="00924775">
              <w:rPr>
                <w:rFonts w:eastAsia="Times New Roman" w:cs="Arial"/>
                <w:i/>
                <w:noProof/>
                <w:sz w:val="22"/>
                <w:szCs w:val="20"/>
              </w:rPr>
              <w:t>[insert email address]</w:t>
            </w:r>
            <w:r w:rsidRPr="00924775">
              <w:rPr>
                <w:rFonts w:eastAsia="Times New Roman" w:cs="Arial"/>
                <w:i/>
                <w:sz w:val="22"/>
                <w:szCs w:val="20"/>
              </w:rPr>
              <w:fldChar w:fldCharType="end"/>
            </w:r>
          </w:p>
          <w:p w14:paraId="0BEC0803" w14:textId="77777777" w:rsidR="002C1756" w:rsidRPr="00924775" w:rsidRDefault="002C1756" w:rsidP="002C1756">
            <w:pPr>
              <w:spacing w:before="60" w:after="60" w:line="240" w:lineRule="auto"/>
              <w:rPr>
                <w:rFonts w:eastAsia="Times New Roman" w:cs="Arial"/>
                <w:sz w:val="22"/>
                <w:szCs w:val="20"/>
              </w:rPr>
            </w:pPr>
            <w:r w:rsidRPr="00924775">
              <w:rPr>
                <w:rFonts w:eastAsia="Times New Roman" w:cs="Arial"/>
                <w:sz w:val="22"/>
                <w:szCs w:val="20"/>
              </w:rPr>
              <w:t xml:space="preserve">Alternative contact: </w:t>
            </w:r>
            <w:r w:rsidRPr="00924775">
              <w:rPr>
                <w:rFonts w:eastAsia="Times New Roman" w:cs="Arial"/>
                <w:i/>
                <w:sz w:val="22"/>
                <w:szCs w:val="20"/>
              </w:rPr>
              <w:fldChar w:fldCharType="begin">
                <w:ffData>
                  <w:name w:val=""/>
                  <w:enabled/>
                  <w:calcOnExit w:val="0"/>
                  <w:textInput>
                    <w:default w:val="[insert contact information, e.g. for clinic or specialist nurse]"/>
                  </w:textInput>
                </w:ffData>
              </w:fldChar>
            </w:r>
            <w:r w:rsidRPr="00924775">
              <w:rPr>
                <w:rFonts w:eastAsia="Times New Roman" w:cs="Arial"/>
                <w:i/>
                <w:sz w:val="22"/>
                <w:szCs w:val="20"/>
              </w:rPr>
              <w:instrText xml:space="preserve"> FORMTEXT </w:instrText>
            </w:r>
            <w:r w:rsidRPr="00924775">
              <w:rPr>
                <w:rFonts w:eastAsia="Times New Roman" w:cs="Arial"/>
                <w:i/>
                <w:sz w:val="22"/>
                <w:szCs w:val="20"/>
              </w:rPr>
            </w:r>
            <w:r w:rsidRPr="00924775">
              <w:rPr>
                <w:rFonts w:eastAsia="Times New Roman" w:cs="Arial"/>
                <w:i/>
                <w:sz w:val="22"/>
                <w:szCs w:val="20"/>
              </w:rPr>
              <w:fldChar w:fldCharType="separate"/>
            </w:r>
            <w:r w:rsidRPr="00924775">
              <w:rPr>
                <w:rFonts w:eastAsia="Times New Roman" w:cs="Arial"/>
                <w:i/>
                <w:noProof/>
                <w:sz w:val="22"/>
                <w:szCs w:val="20"/>
              </w:rPr>
              <w:t>[insert contact information, e.g. for clinic or specialist nurse]</w:t>
            </w:r>
            <w:r w:rsidRPr="00924775">
              <w:rPr>
                <w:rFonts w:eastAsia="Times New Roman" w:cs="Arial"/>
                <w:i/>
                <w:sz w:val="22"/>
                <w:szCs w:val="20"/>
              </w:rPr>
              <w:fldChar w:fldCharType="end"/>
            </w:r>
          </w:p>
          <w:p w14:paraId="68E5A417" w14:textId="07DBEE83" w:rsidR="002C1756" w:rsidRPr="00924775" w:rsidRDefault="002C1756" w:rsidP="002C1756">
            <w:pPr>
              <w:spacing w:before="60" w:after="60" w:line="240" w:lineRule="auto"/>
              <w:rPr>
                <w:rFonts w:eastAsia="Times New Roman" w:cs="Arial"/>
                <w:i/>
                <w:sz w:val="22"/>
                <w:szCs w:val="20"/>
              </w:rPr>
            </w:pPr>
            <w:r w:rsidRPr="00924775">
              <w:rPr>
                <w:rFonts w:eastAsia="Times New Roman" w:cs="Arial"/>
                <w:sz w:val="22"/>
                <w:szCs w:val="20"/>
              </w:rPr>
              <w:t xml:space="preserve">Out of hours contact details: </w:t>
            </w:r>
            <w:r w:rsidRPr="00924775">
              <w:rPr>
                <w:rFonts w:eastAsia="Times New Roman" w:cs="Arial"/>
                <w:i/>
                <w:sz w:val="22"/>
                <w:szCs w:val="20"/>
              </w:rPr>
              <w:fldChar w:fldCharType="begin">
                <w:ffData>
                  <w:name w:val=""/>
                  <w:enabled/>
                  <w:calcOnExit w:val="0"/>
                  <w:textInput>
                    <w:default w:val="[insert contact information, e.g. for duty doctor]"/>
                  </w:textInput>
                </w:ffData>
              </w:fldChar>
            </w:r>
            <w:r w:rsidRPr="00924775">
              <w:rPr>
                <w:rFonts w:eastAsia="Times New Roman" w:cs="Arial"/>
                <w:i/>
                <w:sz w:val="22"/>
                <w:szCs w:val="20"/>
              </w:rPr>
              <w:instrText xml:space="preserve"> FORMTEXT </w:instrText>
            </w:r>
            <w:r w:rsidRPr="00924775">
              <w:rPr>
                <w:rFonts w:eastAsia="Times New Roman" w:cs="Arial"/>
                <w:i/>
                <w:sz w:val="22"/>
                <w:szCs w:val="20"/>
              </w:rPr>
            </w:r>
            <w:r w:rsidRPr="00924775">
              <w:rPr>
                <w:rFonts w:eastAsia="Times New Roman" w:cs="Arial"/>
                <w:i/>
                <w:sz w:val="22"/>
                <w:szCs w:val="20"/>
              </w:rPr>
              <w:fldChar w:fldCharType="separate"/>
            </w:r>
            <w:r w:rsidRPr="00924775">
              <w:rPr>
                <w:rFonts w:eastAsia="Times New Roman" w:cs="Arial"/>
                <w:i/>
                <w:noProof/>
                <w:sz w:val="22"/>
                <w:szCs w:val="20"/>
              </w:rPr>
              <w:t>[insert contact information, e.g. for duty doctor]</w:t>
            </w:r>
            <w:r w:rsidRPr="00924775">
              <w:rPr>
                <w:rFonts w:eastAsia="Times New Roman" w:cs="Arial"/>
                <w:i/>
                <w:sz w:val="22"/>
                <w:szCs w:val="20"/>
              </w:rPr>
              <w:fldChar w:fldCharType="end"/>
            </w:r>
          </w:p>
        </w:tc>
      </w:tr>
      <w:tr w:rsidR="002C1756" w:rsidRPr="002D255E" w14:paraId="1AD14A2A" w14:textId="77777777" w:rsidTr="007C7494">
        <w:trPr>
          <w:jc w:val="center"/>
        </w:trPr>
        <w:tc>
          <w:tcPr>
            <w:tcW w:w="10455" w:type="dxa"/>
            <w:tcBorders>
              <w:bottom w:val="nil"/>
            </w:tcBorders>
            <w:shd w:val="clear" w:color="auto" w:fill="F2F2F2"/>
          </w:tcPr>
          <w:p w14:paraId="201683F6" w14:textId="41E7CC27" w:rsidR="002C1756" w:rsidRPr="002D255E" w:rsidRDefault="002C1756" w:rsidP="007F3977">
            <w:pPr>
              <w:pStyle w:val="Heading1"/>
              <w:tabs>
                <w:tab w:val="right" w:pos="10238"/>
              </w:tabs>
              <w:ind w:left="599" w:hanging="599"/>
              <w:rPr>
                <w:sz w:val="20"/>
                <w:lang w:val="en-US" w:eastAsia="en-GB"/>
              </w:rPr>
            </w:pPr>
            <w:bookmarkStart w:id="14" w:name="Thirteen_additional_information"/>
            <w:bookmarkEnd w:id="14"/>
            <w:r w:rsidRPr="002D255E">
              <w:rPr>
                <w:lang w:eastAsia="en-GB"/>
              </w:rPr>
              <w:t>Additional information</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0650CF87" w14:textId="77777777" w:rsidTr="007C7494">
        <w:trPr>
          <w:jc w:val="center"/>
        </w:trPr>
        <w:tc>
          <w:tcPr>
            <w:tcW w:w="10455" w:type="dxa"/>
            <w:tcBorders>
              <w:top w:val="nil"/>
              <w:bottom w:val="single" w:sz="4" w:space="0" w:color="auto"/>
            </w:tcBorders>
            <w:shd w:val="clear" w:color="auto" w:fill="auto"/>
          </w:tcPr>
          <w:p w14:paraId="2F507666" w14:textId="34601F7A" w:rsidR="002C1756" w:rsidRDefault="00E83B1D" w:rsidP="00E83B1D">
            <w:pPr>
              <w:spacing w:after="120" w:line="240" w:lineRule="auto"/>
              <w:rPr>
                <w:sz w:val="22"/>
                <w:szCs w:val="20"/>
                <w:lang w:eastAsia="en-GB"/>
              </w:rPr>
            </w:pPr>
            <w:r w:rsidRPr="00924775">
              <w:rPr>
                <w:sz w:val="22"/>
                <w:szCs w:val="20"/>
                <w:lang w:eastAsia="en-GB"/>
              </w:rPr>
              <w:t xml:space="preserve">Where patient care is transferred from one specialist service or GP practice to another, a new shared care agreement must be </w:t>
            </w:r>
            <w:r w:rsidR="00D01E56">
              <w:rPr>
                <w:sz w:val="22"/>
                <w:szCs w:val="20"/>
                <w:lang w:eastAsia="en-GB"/>
              </w:rPr>
              <w:t>initiated</w:t>
            </w:r>
            <w:r w:rsidRPr="00924775">
              <w:rPr>
                <w:sz w:val="22"/>
                <w:szCs w:val="20"/>
                <w:lang w:eastAsia="en-GB"/>
              </w:rPr>
              <w:t>. Ensure that the specialist is informed in writing of any changes to the patient’s GP or their contact details.</w:t>
            </w:r>
          </w:p>
          <w:p w14:paraId="6F1EA946" w14:textId="10CCC3DB" w:rsidR="00924775" w:rsidRPr="00924775" w:rsidRDefault="00924775" w:rsidP="00E83B1D">
            <w:pPr>
              <w:spacing w:after="120" w:line="240" w:lineRule="auto"/>
              <w:rPr>
                <w:i/>
                <w:iCs/>
                <w:lang w:eastAsia="en-GB"/>
              </w:rPr>
            </w:pPr>
            <w:r w:rsidRPr="00924775">
              <w:rPr>
                <w:i/>
                <w:iCs/>
                <w:color w:val="FF0000"/>
                <w:sz w:val="22"/>
                <w:szCs w:val="20"/>
                <w:lang w:eastAsia="en-GB"/>
              </w:rPr>
              <w:t>Add any other relevant additional information.</w:t>
            </w:r>
          </w:p>
        </w:tc>
      </w:tr>
      <w:tr w:rsidR="002C1756" w:rsidRPr="002D255E" w14:paraId="40A4CE02" w14:textId="77777777" w:rsidTr="007C7494">
        <w:trPr>
          <w:jc w:val="center"/>
        </w:trPr>
        <w:tc>
          <w:tcPr>
            <w:tcW w:w="10455" w:type="dxa"/>
            <w:tcBorders>
              <w:bottom w:val="nil"/>
            </w:tcBorders>
            <w:shd w:val="clear" w:color="auto" w:fill="F2F2F2"/>
          </w:tcPr>
          <w:p w14:paraId="469E4408" w14:textId="3AC79B0D" w:rsidR="002C1756" w:rsidRPr="002D255E" w:rsidRDefault="002C1756" w:rsidP="007F3977">
            <w:pPr>
              <w:pStyle w:val="Heading1"/>
              <w:tabs>
                <w:tab w:val="right" w:pos="10240"/>
              </w:tabs>
              <w:ind w:left="599" w:hanging="599"/>
              <w:rPr>
                <w:lang w:eastAsia="en-GB"/>
              </w:rPr>
            </w:pPr>
            <w:bookmarkStart w:id="15" w:name="Fourteen_references"/>
            <w:bookmarkEnd w:id="15"/>
            <w:r w:rsidRPr="002D255E">
              <w:rPr>
                <w:lang w:eastAsia="en-GB"/>
              </w:rPr>
              <w:t>References</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583AE708" w14:textId="77777777" w:rsidTr="007C7494">
        <w:trPr>
          <w:jc w:val="center"/>
        </w:trPr>
        <w:tc>
          <w:tcPr>
            <w:tcW w:w="10455" w:type="dxa"/>
            <w:tcBorders>
              <w:top w:val="nil"/>
              <w:bottom w:val="single" w:sz="4" w:space="0" w:color="auto"/>
            </w:tcBorders>
            <w:shd w:val="clear" w:color="auto" w:fill="auto"/>
          </w:tcPr>
          <w:p w14:paraId="1B4E1121" w14:textId="77777777" w:rsidR="001E3E2A" w:rsidRPr="00924775" w:rsidRDefault="001E3E2A" w:rsidP="000866D7">
            <w:pPr>
              <w:spacing w:after="0"/>
              <w:rPr>
                <w:rFonts w:eastAsia="Times New Roman" w:cs="Arial"/>
                <w:sz w:val="22"/>
                <w:szCs w:val="20"/>
                <w:lang w:eastAsia="en-GB"/>
              </w:rPr>
            </w:pPr>
          </w:p>
          <w:p w14:paraId="5195E8A0" w14:textId="77777777" w:rsidR="00E83B1D" w:rsidRPr="00924775" w:rsidRDefault="00E83B1D" w:rsidP="000866D7">
            <w:pPr>
              <w:spacing w:after="0"/>
              <w:rPr>
                <w:rFonts w:eastAsia="Times New Roman" w:cs="Arial"/>
                <w:sz w:val="22"/>
                <w:szCs w:val="20"/>
                <w:lang w:eastAsia="en-GB"/>
              </w:rPr>
            </w:pPr>
          </w:p>
          <w:p w14:paraId="79414682" w14:textId="7FEFAE22" w:rsidR="00E83B1D" w:rsidRPr="00924775" w:rsidRDefault="00E83B1D" w:rsidP="000866D7">
            <w:pPr>
              <w:spacing w:after="0"/>
              <w:rPr>
                <w:rFonts w:eastAsia="Times New Roman" w:cs="Arial"/>
                <w:sz w:val="22"/>
                <w:szCs w:val="20"/>
                <w:lang w:eastAsia="en-GB"/>
              </w:rPr>
            </w:pPr>
          </w:p>
        </w:tc>
      </w:tr>
      <w:tr w:rsidR="002C1756" w:rsidRPr="002D255E" w14:paraId="42F50346" w14:textId="77777777" w:rsidTr="007C7494">
        <w:trPr>
          <w:jc w:val="center"/>
        </w:trPr>
        <w:tc>
          <w:tcPr>
            <w:tcW w:w="10455" w:type="dxa"/>
            <w:tcBorders>
              <w:bottom w:val="nil"/>
            </w:tcBorders>
            <w:shd w:val="clear" w:color="auto" w:fill="F2F2F2"/>
          </w:tcPr>
          <w:p w14:paraId="24F76BF3" w14:textId="4C261A28" w:rsidR="002C1756" w:rsidRPr="002D255E" w:rsidRDefault="002C1756" w:rsidP="007F3977">
            <w:pPr>
              <w:pStyle w:val="Heading1"/>
              <w:tabs>
                <w:tab w:val="right" w:pos="10240"/>
              </w:tabs>
              <w:ind w:left="599" w:hanging="599"/>
              <w:rPr>
                <w:lang w:eastAsia="en-GB"/>
              </w:rPr>
            </w:pPr>
            <w:bookmarkStart w:id="16" w:name="Fifteen_national_guidance"/>
            <w:bookmarkEnd w:id="16"/>
            <w:r w:rsidRPr="002D255E">
              <w:rPr>
                <w:lang w:eastAsia="en-GB"/>
              </w:rPr>
              <w:t>Other relevant national guidance</w:t>
            </w:r>
            <w:r w:rsidR="007F3977" w:rsidRPr="002D255E">
              <w:rPr>
                <w:lang w:eastAsia="en-GB"/>
              </w:rPr>
              <w:t xml:space="preserve"> </w:t>
            </w:r>
            <w:r w:rsidR="007F3977" w:rsidRPr="002D255E">
              <w:rPr>
                <w:lang w:eastAsia="en-GB"/>
              </w:rPr>
              <w:tab/>
            </w:r>
            <w:hyperlink w:anchor="Responsibilities" w:history="1">
              <w:r w:rsidR="007F3977" w:rsidRPr="002D255E">
                <w:rPr>
                  <w:rStyle w:val="Hyperlink"/>
                  <w:rFonts w:eastAsia="Times New Roman" w:cs="Arial"/>
                  <w:b w:val="0"/>
                  <w:bCs w:val="0"/>
                  <w:sz w:val="24"/>
                  <w:szCs w:val="24"/>
                  <w:lang w:eastAsia="en-GB"/>
                </w:rPr>
                <w:t>Back to top</w:t>
              </w:r>
            </w:hyperlink>
          </w:p>
        </w:tc>
      </w:tr>
      <w:tr w:rsidR="002C1756" w:rsidRPr="002D255E" w14:paraId="4CE5A668" w14:textId="77777777" w:rsidTr="007C7494">
        <w:trPr>
          <w:jc w:val="center"/>
        </w:trPr>
        <w:tc>
          <w:tcPr>
            <w:tcW w:w="10455" w:type="dxa"/>
            <w:tcBorders>
              <w:top w:val="nil"/>
              <w:bottom w:val="single" w:sz="4" w:space="0" w:color="auto"/>
            </w:tcBorders>
            <w:shd w:val="clear" w:color="auto" w:fill="auto"/>
          </w:tcPr>
          <w:p w14:paraId="21A62466" w14:textId="77777777" w:rsidR="00221649" w:rsidRPr="00924775" w:rsidRDefault="00221649" w:rsidP="00221649">
            <w:pPr>
              <w:pStyle w:val="ListParagraph"/>
              <w:numPr>
                <w:ilvl w:val="0"/>
                <w:numId w:val="2"/>
              </w:numPr>
              <w:spacing w:after="0" w:line="240" w:lineRule="auto"/>
              <w:contextualSpacing/>
              <w:jc w:val="both"/>
              <w:rPr>
                <w:sz w:val="22"/>
                <w:szCs w:val="20"/>
              </w:rPr>
            </w:pPr>
            <w:r w:rsidRPr="00924775">
              <w:rPr>
                <w:sz w:val="22"/>
                <w:szCs w:val="20"/>
              </w:rPr>
              <w:t>Shared Care for Medicines Guidance: A Standard Approach, Regional Medicines Optimisation Committee (RMOC), February 2021.</w:t>
            </w:r>
          </w:p>
          <w:p w14:paraId="587F28D4" w14:textId="77777777" w:rsidR="000978B8" w:rsidRPr="00924775" w:rsidRDefault="000978B8" w:rsidP="00221649">
            <w:pPr>
              <w:pStyle w:val="ListParagraph"/>
              <w:numPr>
                <w:ilvl w:val="0"/>
                <w:numId w:val="2"/>
              </w:numPr>
              <w:spacing w:before="60" w:after="60" w:line="240" w:lineRule="auto"/>
              <w:rPr>
                <w:rFonts w:eastAsia="Times New Roman" w:cstheme="minorHAnsi"/>
                <w:sz w:val="22"/>
                <w:szCs w:val="20"/>
                <w:lang w:eastAsia="en-GB"/>
              </w:rPr>
            </w:pPr>
            <w:r w:rsidRPr="00924775">
              <w:rPr>
                <w:rFonts w:eastAsia="Times New Roman" w:cstheme="minorHAnsi"/>
                <w:sz w:val="22"/>
                <w:szCs w:val="20"/>
                <w:lang w:eastAsia="en-GB"/>
              </w:rPr>
              <w:t xml:space="preserve">NHSE guidance – </w:t>
            </w:r>
            <w:r w:rsidRPr="00924775">
              <w:rPr>
                <w:sz w:val="22"/>
                <w:szCs w:val="20"/>
              </w:rPr>
              <w:t xml:space="preserve">Responsibility for prescribing between primary &amp; secondary/tertiary care. Available from </w:t>
            </w:r>
            <w:hyperlink r:id="rId26" w:history="1">
              <w:r w:rsidRPr="00924775">
                <w:rPr>
                  <w:rStyle w:val="Hyperlink"/>
                  <w:sz w:val="22"/>
                  <w:szCs w:val="20"/>
                </w:rPr>
                <w:t>https://www.england.nhs.uk/publication/responsibility-for-prescribing-between-primary-and-secondary-tertiary-care/</w:t>
              </w:r>
            </w:hyperlink>
            <w:r w:rsidRPr="00924775">
              <w:rPr>
                <w:sz w:val="22"/>
                <w:szCs w:val="20"/>
              </w:rPr>
              <w:t xml:space="preserve"> </w:t>
            </w:r>
          </w:p>
          <w:p w14:paraId="1C33BDF3" w14:textId="77777777" w:rsidR="000978B8" w:rsidRPr="00924775" w:rsidRDefault="000978B8" w:rsidP="00221649">
            <w:pPr>
              <w:pStyle w:val="ListParagraph"/>
              <w:numPr>
                <w:ilvl w:val="0"/>
                <w:numId w:val="2"/>
              </w:numPr>
              <w:spacing w:before="60" w:after="60" w:line="240" w:lineRule="auto"/>
              <w:rPr>
                <w:rFonts w:eastAsia="Times New Roman" w:cstheme="minorHAnsi"/>
                <w:sz w:val="22"/>
                <w:szCs w:val="20"/>
                <w:lang w:eastAsia="en-GB"/>
              </w:rPr>
            </w:pPr>
            <w:r w:rsidRPr="00924775">
              <w:rPr>
                <w:rFonts w:eastAsia="Times New Roman" w:cstheme="minorHAnsi"/>
                <w:sz w:val="22"/>
                <w:szCs w:val="20"/>
                <w:lang w:eastAsia="en-GB"/>
              </w:rPr>
              <w:t xml:space="preserve">General Medical Council. Good practice in prescribing and managing medicines and devices. Shared care. Available from </w:t>
            </w:r>
            <w:hyperlink r:id="rId27" w:history="1">
              <w:r w:rsidRPr="00924775">
                <w:rPr>
                  <w:rStyle w:val="Hyperlink"/>
                  <w:rFonts w:eastAsia="Times New Roman" w:cstheme="minorHAnsi"/>
                  <w:sz w:val="22"/>
                  <w:szCs w:val="20"/>
                  <w:lang w:eastAsia="en-GB"/>
                </w:rPr>
                <w:t>https://www.gmc-uk.org/ethical-guidance/ethical-guidance-for-doctors/good-practice-in-prescribing-and-managing-medicines-and-devices/shared-care</w:t>
              </w:r>
            </w:hyperlink>
            <w:r w:rsidRPr="00924775">
              <w:rPr>
                <w:rFonts w:eastAsia="Times New Roman" w:cstheme="minorHAnsi"/>
                <w:sz w:val="22"/>
                <w:szCs w:val="20"/>
                <w:lang w:eastAsia="en-GB"/>
              </w:rPr>
              <w:t xml:space="preserve"> </w:t>
            </w:r>
          </w:p>
          <w:p w14:paraId="17D120D7" w14:textId="32B9C7D3" w:rsidR="002C1756" w:rsidRPr="00924775" w:rsidRDefault="000978B8" w:rsidP="00221649">
            <w:pPr>
              <w:pStyle w:val="ListParagraph"/>
              <w:numPr>
                <w:ilvl w:val="0"/>
                <w:numId w:val="2"/>
              </w:numPr>
              <w:spacing w:before="60" w:after="60" w:line="240" w:lineRule="auto"/>
              <w:rPr>
                <w:rFonts w:eastAsia="Times New Roman" w:cstheme="minorHAnsi"/>
                <w:sz w:val="22"/>
                <w:szCs w:val="20"/>
                <w:lang w:eastAsia="en-GB"/>
              </w:rPr>
            </w:pPr>
            <w:r w:rsidRPr="00924775">
              <w:rPr>
                <w:rFonts w:eastAsia="Times New Roman" w:cstheme="minorHAnsi"/>
                <w:sz w:val="22"/>
                <w:szCs w:val="20"/>
                <w:lang w:eastAsia="en-GB"/>
              </w:rPr>
              <w:t xml:space="preserve">NICE NG197: Shared decision making. Last updated June 2021. </w:t>
            </w:r>
            <w:hyperlink r:id="rId28" w:history="1">
              <w:r w:rsidRPr="00924775">
                <w:rPr>
                  <w:rStyle w:val="Hyperlink"/>
                  <w:rFonts w:eastAsia="Times New Roman" w:cstheme="minorHAnsi"/>
                  <w:sz w:val="22"/>
                  <w:szCs w:val="20"/>
                  <w:lang w:eastAsia="en-GB"/>
                </w:rPr>
                <w:t>https://www.nice.org.uk/guidance/ng197/</w:t>
              </w:r>
            </w:hyperlink>
            <w:r w:rsidRPr="00924775">
              <w:rPr>
                <w:rFonts w:eastAsia="Times New Roman" w:cstheme="minorHAnsi"/>
                <w:sz w:val="22"/>
                <w:szCs w:val="20"/>
                <w:lang w:eastAsia="en-GB"/>
              </w:rPr>
              <w:t>.</w:t>
            </w:r>
          </w:p>
        </w:tc>
      </w:tr>
    </w:tbl>
    <w:p w14:paraId="4F2BAA2E" w14:textId="23C78603" w:rsidR="005F6358" w:rsidRPr="002D255E" w:rsidRDefault="005F6358" w:rsidP="00E83B1D">
      <w:pPr>
        <w:rPr>
          <w:rFonts w:cstheme="minorHAnsi"/>
        </w:rPr>
      </w:pPr>
    </w:p>
    <w:sectPr w:rsidR="005F6358" w:rsidRPr="002D255E"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8F80" w14:textId="77777777" w:rsidR="008D5964" w:rsidRDefault="008D5964" w:rsidP="0087662D">
      <w:pPr>
        <w:spacing w:after="0" w:line="240" w:lineRule="auto"/>
      </w:pPr>
      <w:r>
        <w:separator/>
      </w:r>
    </w:p>
  </w:endnote>
  <w:endnote w:type="continuationSeparator" w:id="0">
    <w:p w14:paraId="7CEF075C" w14:textId="77777777" w:rsidR="008D5964" w:rsidRDefault="008D5964" w:rsidP="0087662D">
      <w:pPr>
        <w:spacing w:after="0" w:line="240" w:lineRule="auto"/>
      </w:pPr>
      <w:r>
        <w:continuationSeparator/>
      </w:r>
    </w:p>
  </w:endnote>
  <w:endnote w:type="continuationNotice" w:id="1">
    <w:p w14:paraId="33D5AF2B" w14:textId="77777777" w:rsidR="008D5964" w:rsidRDefault="008D5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34F7C500" w:rsidR="008D5964" w:rsidRPr="00EF4D31" w:rsidRDefault="008D5964" w:rsidP="00EF4D31">
        <w:pPr>
          <w:pStyle w:val="Footer"/>
          <w:tabs>
            <w:tab w:val="clear" w:pos="9026"/>
            <w:tab w:val="right" w:pos="9781"/>
          </w:tabs>
          <w:ind w:left="-907" w:right="-711"/>
          <w:rPr>
            <w:sz w:val="25"/>
            <w:szCs w:val="25"/>
          </w:rPr>
        </w:pPr>
        <w:r w:rsidRPr="000978B8">
          <w:rPr>
            <w:noProof/>
            <w:color w:val="808080" w:themeColor="background1" w:themeShade="80"/>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7071696">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0978B8">
          <w:rPr>
            <w:color w:val="808080" w:themeColor="background1" w:themeShade="80"/>
            <w:sz w:val="25"/>
            <w:szCs w:val="25"/>
          </w:rPr>
          <w:fldChar w:fldCharType="begin"/>
        </w:r>
        <w:r w:rsidRPr="000978B8">
          <w:rPr>
            <w:color w:val="808080" w:themeColor="background1" w:themeShade="80"/>
            <w:sz w:val="25"/>
            <w:szCs w:val="25"/>
          </w:rPr>
          <w:instrText xml:space="preserve"> page </w:instrText>
        </w:r>
        <w:r w:rsidRPr="000978B8">
          <w:rPr>
            <w:color w:val="808080" w:themeColor="background1" w:themeShade="80"/>
            <w:sz w:val="25"/>
            <w:szCs w:val="25"/>
          </w:rPr>
          <w:fldChar w:fldCharType="separate"/>
        </w:r>
        <w:r w:rsidRPr="000978B8">
          <w:rPr>
            <w:color w:val="808080" w:themeColor="background1" w:themeShade="80"/>
            <w:sz w:val="25"/>
            <w:szCs w:val="25"/>
          </w:rPr>
          <w:t>2</w:t>
        </w:r>
        <w:r w:rsidRPr="000978B8">
          <w:rPr>
            <w:color w:val="808080" w:themeColor="background1" w:themeShade="80"/>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009F41AE">
          <w:rPr>
            <w:color w:val="808080" w:themeColor="background1" w:themeShade="80"/>
            <w:sz w:val="25"/>
            <w:szCs w:val="25"/>
          </w:rPr>
          <w:t>S</w:t>
        </w:r>
        <w:r w:rsidRPr="000978B8">
          <w:rPr>
            <w:color w:val="808080" w:themeColor="background1" w:themeShade="80"/>
            <w:sz w:val="25"/>
            <w:szCs w:val="25"/>
          </w:rPr>
          <w:t xml:space="preserve">hared care </w:t>
        </w:r>
        <w:r w:rsidR="009F41AE">
          <w:rPr>
            <w:color w:val="808080" w:themeColor="background1" w:themeShade="80"/>
            <w:sz w:val="25"/>
            <w:szCs w:val="25"/>
          </w:rPr>
          <w:t>guideline</w:t>
        </w:r>
        <w:r w:rsidRPr="000978B8">
          <w:rPr>
            <w:color w:val="808080" w:themeColor="background1" w:themeShade="80"/>
            <w:sz w:val="25"/>
            <w:szCs w:val="25"/>
          </w:rPr>
          <w:t xml:space="preserve">: </w:t>
        </w:r>
        <w:r w:rsidR="009F41AE" w:rsidRPr="009F41AE">
          <w:rPr>
            <w:color w:val="FF0000"/>
            <w:sz w:val="25"/>
            <w:szCs w:val="25"/>
          </w:rPr>
          <w:t>Enter guideline name</w:t>
        </w:r>
      </w:p>
      <w:p w14:paraId="4994ED65" w14:textId="1269D3F0" w:rsidR="008D5964" w:rsidRDefault="00DD1DA5" w:rsidP="00637261">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088993748"/>
      <w:docPartObj>
        <w:docPartGallery w:val="Page Numbers (Bottom of Page)"/>
        <w:docPartUnique/>
      </w:docPartObj>
    </w:sdtPr>
    <w:sdtEndPr>
      <w:rPr>
        <w:noProof/>
        <w:sz w:val="24"/>
        <w:szCs w:val="22"/>
      </w:rPr>
    </w:sdtEndPr>
    <w:sdtContent>
      <w:p w14:paraId="03D659A8" w14:textId="4FAAC563" w:rsidR="009F41AE" w:rsidRPr="00F02977" w:rsidRDefault="009F41AE" w:rsidP="00F02977">
        <w:pPr>
          <w:pStyle w:val="Footer"/>
          <w:tabs>
            <w:tab w:val="clear" w:pos="9026"/>
            <w:tab w:val="right" w:pos="9781"/>
          </w:tabs>
          <w:ind w:left="-907" w:right="-711"/>
          <w:rPr>
            <w:sz w:val="25"/>
            <w:szCs w:val="25"/>
          </w:rPr>
        </w:pPr>
        <w:r w:rsidRPr="000978B8">
          <w:rPr>
            <w:noProof/>
            <w:color w:val="808080" w:themeColor="background1" w:themeShade="80"/>
            <w:sz w:val="25"/>
            <w:szCs w:val="25"/>
          </w:rPr>
          <mc:AlternateContent>
            <mc:Choice Requires="wps">
              <w:drawing>
                <wp:anchor distT="0" distB="0" distL="114300" distR="114300" simplePos="0" relativeHeight="251666432" behindDoc="1" locked="0" layoutInCell="1" allowOverlap="1" wp14:anchorId="27E35DBA" wp14:editId="588F7D17">
                  <wp:simplePos x="485775" y="10058400"/>
                  <wp:positionH relativeFrom="page">
                    <wp:posOffset>323850</wp:posOffset>
                  </wp:positionH>
                  <wp:positionV relativeFrom="page">
                    <wp:posOffset>10009505</wp:posOffset>
                  </wp:positionV>
                  <wp:extent cx="6839640" cy="0"/>
                  <wp:effectExtent l="0" t="0" r="0" b="0"/>
                  <wp:wrapNone/>
                  <wp:docPr id="849206107" name="Straight Connector 849206107"/>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E010B" id="Straight Connector 849206107"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0978B8">
          <w:rPr>
            <w:color w:val="808080" w:themeColor="background1" w:themeShade="80"/>
            <w:sz w:val="25"/>
            <w:szCs w:val="25"/>
          </w:rPr>
          <w:fldChar w:fldCharType="begin"/>
        </w:r>
        <w:r w:rsidRPr="000978B8">
          <w:rPr>
            <w:color w:val="808080" w:themeColor="background1" w:themeShade="80"/>
            <w:sz w:val="25"/>
            <w:szCs w:val="25"/>
          </w:rPr>
          <w:instrText xml:space="preserve"> page </w:instrText>
        </w:r>
        <w:r w:rsidRPr="000978B8">
          <w:rPr>
            <w:color w:val="808080" w:themeColor="background1" w:themeShade="80"/>
            <w:sz w:val="25"/>
            <w:szCs w:val="25"/>
          </w:rPr>
          <w:fldChar w:fldCharType="separate"/>
        </w:r>
        <w:r>
          <w:rPr>
            <w:color w:val="808080" w:themeColor="background1" w:themeShade="80"/>
            <w:sz w:val="25"/>
            <w:szCs w:val="25"/>
          </w:rPr>
          <w:t>1</w:t>
        </w:r>
        <w:r w:rsidRPr="000978B8">
          <w:rPr>
            <w:color w:val="808080" w:themeColor="background1" w:themeShade="80"/>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Pr>
            <w:color w:val="808080" w:themeColor="background1" w:themeShade="80"/>
            <w:sz w:val="25"/>
            <w:szCs w:val="25"/>
          </w:rPr>
          <w:t>S</w:t>
        </w:r>
        <w:r w:rsidRPr="000978B8">
          <w:rPr>
            <w:color w:val="808080" w:themeColor="background1" w:themeShade="80"/>
            <w:sz w:val="25"/>
            <w:szCs w:val="25"/>
          </w:rPr>
          <w:t xml:space="preserve">hared care </w:t>
        </w:r>
        <w:r>
          <w:rPr>
            <w:color w:val="808080" w:themeColor="background1" w:themeShade="80"/>
            <w:sz w:val="25"/>
            <w:szCs w:val="25"/>
          </w:rPr>
          <w:t>guideline</w:t>
        </w:r>
        <w:r w:rsidRPr="000978B8">
          <w:rPr>
            <w:color w:val="808080" w:themeColor="background1" w:themeShade="80"/>
            <w:sz w:val="25"/>
            <w:szCs w:val="25"/>
          </w:rPr>
          <w:t xml:space="preserve">: </w:t>
        </w:r>
        <w:r w:rsidRPr="009F41AE">
          <w:rPr>
            <w:color w:val="FF0000"/>
            <w:sz w:val="25"/>
            <w:szCs w:val="25"/>
          </w:rPr>
          <w:t>Enter guideline name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BD70" w14:textId="77777777" w:rsidR="008D5964" w:rsidRDefault="008D5964" w:rsidP="0087662D">
      <w:pPr>
        <w:spacing w:after="0" w:line="240" w:lineRule="auto"/>
      </w:pPr>
      <w:r>
        <w:separator/>
      </w:r>
    </w:p>
  </w:footnote>
  <w:footnote w:type="continuationSeparator" w:id="0">
    <w:p w14:paraId="04A1D090" w14:textId="77777777" w:rsidR="008D5964" w:rsidRDefault="008D5964" w:rsidP="0087662D">
      <w:pPr>
        <w:spacing w:after="0" w:line="240" w:lineRule="auto"/>
      </w:pPr>
      <w:r>
        <w:continuationSeparator/>
      </w:r>
    </w:p>
  </w:footnote>
  <w:footnote w:type="continuationNotice" w:id="1">
    <w:p w14:paraId="569A13FE" w14:textId="77777777" w:rsidR="008D5964" w:rsidRDefault="008D5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C179" w14:textId="346BDF05" w:rsidR="005C51C1" w:rsidRDefault="001A555F" w:rsidP="005C51C1">
    <w:pPr>
      <w:pStyle w:val="Header"/>
      <w:tabs>
        <w:tab w:val="clear" w:pos="9026"/>
        <w:tab w:val="left" w:pos="7730"/>
        <w:tab w:val="left" w:pos="7910"/>
        <w:tab w:val="left" w:pos="8180"/>
        <w:tab w:val="right" w:pos="9214"/>
      </w:tabs>
    </w:pPr>
    <w:r>
      <w:rPr>
        <w:noProof/>
      </w:rPr>
      <w:drawing>
        <wp:inline distT="0" distB="0" distL="0" distR="0" wp14:anchorId="5998B683" wp14:editId="31CA1D52">
          <wp:extent cx="5759450" cy="804194"/>
          <wp:effectExtent l="0" t="0" r="0" b="0"/>
          <wp:docPr id="360503325" name="Picture 360503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804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04E64"/>
    <w:multiLevelType w:val="hybridMultilevel"/>
    <w:tmpl w:val="5120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D133B"/>
    <w:multiLevelType w:val="hybridMultilevel"/>
    <w:tmpl w:val="FAA2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1452BF"/>
    <w:multiLevelType w:val="hybridMultilevel"/>
    <w:tmpl w:val="58DA04F0"/>
    <w:lvl w:ilvl="0" w:tplc="08090001">
      <w:start w:val="1"/>
      <w:numFmt w:val="bullet"/>
      <w:lvlText w:val=""/>
      <w:lvlJc w:val="left"/>
      <w:pPr>
        <w:ind w:left="360" w:hanging="360"/>
      </w:pPr>
      <w:rPr>
        <w:rFonts w:ascii="Symbol" w:hAnsi="Symbol" w:hint="default"/>
      </w:rPr>
    </w:lvl>
    <w:lvl w:ilvl="1" w:tplc="21F0614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097EA8"/>
    <w:multiLevelType w:val="hybridMultilevel"/>
    <w:tmpl w:val="7344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85885"/>
    <w:multiLevelType w:val="hybridMultilevel"/>
    <w:tmpl w:val="95DA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0C660A"/>
    <w:multiLevelType w:val="hybridMultilevel"/>
    <w:tmpl w:val="990AA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0A1277"/>
    <w:multiLevelType w:val="hybridMultilevel"/>
    <w:tmpl w:val="27E2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A44F27"/>
    <w:multiLevelType w:val="hybridMultilevel"/>
    <w:tmpl w:val="9DBA9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CC0027"/>
    <w:multiLevelType w:val="hybridMultilevel"/>
    <w:tmpl w:val="BB867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485707"/>
    <w:multiLevelType w:val="hybridMultilevel"/>
    <w:tmpl w:val="C710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52620C"/>
    <w:multiLevelType w:val="hybridMultilevel"/>
    <w:tmpl w:val="55D8B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71BDA"/>
    <w:multiLevelType w:val="hybridMultilevel"/>
    <w:tmpl w:val="5CB8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968C5"/>
    <w:multiLevelType w:val="hybridMultilevel"/>
    <w:tmpl w:val="361AD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FB6854"/>
    <w:multiLevelType w:val="multilevel"/>
    <w:tmpl w:val="2532360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B02142"/>
    <w:multiLevelType w:val="hybridMultilevel"/>
    <w:tmpl w:val="716CA64A"/>
    <w:lvl w:ilvl="0" w:tplc="D4C4EB52">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color w:val="1F497D" w:themeColor="text2"/>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645AB5"/>
    <w:multiLevelType w:val="hybridMultilevel"/>
    <w:tmpl w:val="3B9AE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5B4FEE"/>
    <w:multiLevelType w:val="hybridMultilevel"/>
    <w:tmpl w:val="22EC0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8143031">
    <w:abstractNumId w:val="26"/>
  </w:num>
  <w:num w:numId="2" w16cid:durableId="1807971608">
    <w:abstractNumId w:val="16"/>
  </w:num>
  <w:num w:numId="3" w16cid:durableId="903874765">
    <w:abstractNumId w:val="18"/>
  </w:num>
  <w:num w:numId="4" w16cid:durableId="129252509">
    <w:abstractNumId w:val="25"/>
  </w:num>
  <w:num w:numId="5" w16cid:durableId="1037705548">
    <w:abstractNumId w:val="9"/>
  </w:num>
  <w:num w:numId="6" w16cid:durableId="1825195226">
    <w:abstractNumId w:val="11"/>
  </w:num>
  <w:num w:numId="7" w16cid:durableId="337077975">
    <w:abstractNumId w:val="5"/>
  </w:num>
  <w:num w:numId="8" w16cid:durableId="1393430350">
    <w:abstractNumId w:val="14"/>
  </w:num>
  <w:num w:numId="9" w16cid:durableId="811093695">
    <w:abstractNumId w:val="28"/>
  </w:num>
  <w:num w:numId="10" w16cid:durableId="1876234192">
    <w:abstractNumId w:val="29"/>
  </w:num>
  <w:num w:numId="11" w16cid:durableId="1375884661">
    <w:abstractNumId w:val="24"/>
  </w:num>
  <w:num w:numId="12" w16cid:durableId="966810832">
    <w:abstractNumId w:val="32"/>
  </w:num>
  <w:num w:numId="13" w16cid:durableId="180433690">
    <w:abstractNumId w:val="8"/>
  </w:num>
  <w:num w:numId="14" w16cid:durableId="1472480705">
    <w:abstractNumId w:val="15"/>
  </w:num>
  <w:num w:numId="15" w16cid:durableId="845676907">
    <w:abstractNumId w:val="3"/>
  </w:num>
  <w:num w:numId="16" w16cid:durableId="1663004148">
    <w:abstractNumId w:val="13"/>
  </w:num>
  <w:num w:numId="17" w16cid:durableId="1012800199">
    <w:abstractNumId w:val="0"/>
  </w:num>
  <w:num w:numId="18" w16cid:durableId="1488278097">
    <w:abstractNumId w:val="23"/>
  </w:num>
  <w:num w:numId="19" w16cid:durableId="355693732">
    <w:abstractNumId w:val="7"/>
  </w:num>
  <w:num w:numId="20" w16cid:durableId="2097749611">
    <w:abstractNumId w:val="30"/>
  </w:num>
  <w:num w:numId="21" w16cid:durableId="297733327">
    <w:abstractNumId w:val="12"/>
  </w:num>
  <w:num w:numId="22" w16cid:durableId="14815576">
    <w:abstractNumId w:val="2"/>
  </w:num>
  <w:num w:numId="23" w16cid:durableId="2130591026">
    <w:abstractNumId w:val="27"/>
  </w:num>
  <w:num w:numId="24" w16cid:durableId="1714231148">
    <w:abstractNumId w:val="1"/>
  </w:num>
  <w:num w:numId="25" w16cid:durableId="314797515">
    <w:abstractNumId w:val="31"/>
  </w:num>
  <w:num w:numId="26" w16cid:durableId="1008363463">
    <w:abstractNumId w:val="21"/>
  </w:num>
  <w:num w:numId="27" w16cid:durableId="534194975">
    <w:abstractNumId w:val="4"/>
  </w:num>
  <w:num w:numId="28" w16cid:durableId="1468204209">
    <w:abstractNumId w:val="35"/>
  </w:num>
  <w:num w:numId="29" w16cid:durableId="1170289326">
    <w:abstractNumId w:val="19"/>
  </w:num>
  <w:num w:numId="30" w16cid:durableId="74784718">
    <w:abstractNumId w:val="34"/>
  </w:num>
  <w:num w:numId="31" w16cid:durableId="2063020551">
    <w:abstractNumId w:val="33"/>
  </w:num>
  <w:num w:numId="32" w16cid:durableId="1970822236">
    <w:abstractNumId w:val="22"/>
  </w:num>
  <w:num w:numId="33" w16cid:durableId="1851987915">
    <w:abstractNumId w:val="20"/>
  </w:num>
  <w:num w:numId="34" w16cid:durableId="307437097">
    <w:abstractNumId w:val="17"/>
  </w:num>
  <w:num w:numId="35" w16cid:durableId="420491884">
    <w:abstractNumId w:val="6"/>
  </w:num>
  <w:num w:numId="36" w16cid:durableId="521167298">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3C4B"/>
    <w:rsid w:val="00045D61"/>
    <w:rsid w:val="000469BF"/>
    <w:rsid w:val="00046C47"/>
    <w:rsid w:val="00055685"/>
    <w:rsid w:val="000625E5"/>
    <w:rsid w:val="00063544"/>
    <w:rsid w:val="000652A2"/>
    <w:rsid w:val="00065565"/>
    <w:rsid w:val="00065775"/>
    <w:rsid w:val="00065B98"/>
    <w:rsid w:val="0006618C"/>
    <w:rsid w:val="00067C8D"/>
    <w:rsid w:val="00070CFF"/>
    <w:rsid w:val="00080C62"/>
    <w:rsid w:val="00084DC3"/>
    <w:rsid w:val="000866D7"/>
    <w:rsid w:val="00091F97"/>
    <w:rsid w:val="00092621"/>
    <w:rsid w:val="0009626A"/>
    <w:rsid w:val="00096431"/>
    <w:rsid w:val="000978B8"/>
    <w:rsid w:val="000979BA"/>
    <w:rsid w:val="000A1C3F"/>
    <w:rsid w:val="000A6D12"/>
    <w:rsid w:val="000B5C73"/>
    <w:rsid w:val="000B6D1E"/>
    <w:rsid w:val="000C44F0"/>
    <w:rsid w:val="000C7037"/>
    <w:rsid w:val="000D1E44"/>
    <w:rsid w:val="000D2A07"/>
    <w:rsid w:val="000D4CA9"/>
    <w:rsid w:val="000D5F9E"/>
    <w:rsid w:val="000E1BF6"/>
    <w:rsid w:val="000E5CFD"/>
    <w:rsid w:val="000E63B8"/>
    <w:rsid w:val="000E743E"/>
    <w:rsid w:val="000F6CED"/>
    <w:rsid w:val="00101ECA"/>
    <w:rsid w:val="001031D5"/>
    <w:rsid w:val="001039DF"/>
    <w:rsid w:val="00104888"/>
    <w:rsid w:val="001130B8"/>
    <w:rsid w:val="001213C9"/>
    <w:rsid w:val="00121AE1"/>
    <w:rsid w:val="00127457"/>
    <w:rsid w:val="00127FD8"/>
    <w:rsid w:val="00132FF4"/>
    <w:rsid w:val="00135825"/>
    <w:rsid w:val="0014209C"/>
    <w:rsid w:val="0014434C"/>
    <w:rsid w:val="001468BD"/>
    <w:rsid w:val="00150BBB"/>
    <w:rsid w:val="001518FB"/>
    <w:rsid w:val="0015685E"/>
    <w:rsid w:val="001636D7"/>
    <w:rsid w:val="00163D1F"/>
    <w:rsid w:val="00166280"/>
    <w:rsid w:val="00166E03"/>
    <w:rsid w:val="00173C0C"/>
    <w:rsid w:val="001775A2"/>
    <w:rsid w:val="00181180"/>
    <w:rsid w:val="00181489"/>
    <w:rsid w:val="00181953"/>
    <w:rsid w:val="0018211F"/>
    <w:rsid w:val="00182AA9"/>
    <w:rsid w:val="00186EA2"/>
    <w:rsid w:val="001875BC"/>
    <w:rsid w:val="00190F97"/>
    <w:rsid w:val="00191F99"/>
    <w:rsid w:val="00192FBE"/>
    <w:rsid w:val="00193C19"/>
    <w:rsid w:val="00195599"/>
    <w:rsid w:val="001972DA"/>
    <w:rsid w:val="001A1DB6"/>
    <w:rsid w:val="001A3A33"/>
    <w:rsid w:val="001A555F"/>
    <w:rsid w:val="001B096D"/>
    <w:rsid w:val="001B7860"/>
    <w:rsid w:val="001C2FA2"/>
    <w:rsid w:val="001C3E4B"/>
    <w:rsid w:val="001C57F1"/>
    <w:rsid w:val="001D124F"/>
    <w:rsid w:val="001D20B3"/>
    <w:rsid w:val="001D2756"/>
    <w:rsid w:val="001E0A5E"/>
    <w:rsid w:val="001E146E"/>
    <w:rsid w:val="001E3E2A"/>
    <w:rsid w:val="001E7A3C"/>
    <w:rsid w:val="001E7AAA"/>
    <w:rsid w:val="001F04D1"/>
    <w:rsid w:val="001F2FFE"/>
    <w:rsid w:val="001F3C1D"/>
    <w:rsid w:val="001F4ECE"/>
    <w:rsid w:val="001F6FD3"/>
    <w:rsid w:val="00205AE1"/>
    <w:rsid w:val="002102CD"/>
    <w:rsid w:val="002109B2"/>
    <w:rsid w:val="002170F9"/>
    <w:rsid w:val="00217466"/>
    <w:rsid w:val="00221649"/>
    <w:rsid w:val="00221A17"/>
    <w:rsid w:val="0022471E"/>
    <w:rsid w:val="00224B60"/>
    <w:rsid w:val="00230445"/>
    <w:rsid w:val="00230F2C"/>
    <w:rsid w:val="00232C40"/>
    <w:rsid w:val="00234C3F"/>
    <w:rsid w:val="00236640"/>
    <w:rsid w:val="00237CAB"/>
    <w:rsid w:val="00243CF1"/>
    <w:rsid w:val="0024571E"/>
    <w:rsid w:val="00246CC5"/>
    <w:rsid w:val="00246EB3"/>
    <w:rsid w:val="00252052"/>
    <w:rsid w:val="00253B10"/>
    <w:rsid w:val="00254A99"/>
    <w:rsid w:val="00256BBF"/>
    <w:rsid w:val="00271DA1"/>
    <w:rsid w:val="00271F18"/>
    <w:rsid w:val="00281F31"/>
    <w:rsid w:val="0028289C"/>
    <w:rsid w:val="002829B6"/>
    <w:rsid w:val="0028743E"/>
    <w:rsid w:val="0029228C"/>
    <w:rsid w:val="00295135"/>
    <w:rsid w:val="002A1D88"/>
    <w:rsid w:val="002A4121"/>
    <w:rsid w:val="002A451D"/>
    <w:rsid w:val="002B3965"/>
    <w:rsid w:val="002B6C74"/>
    <w:rsid w:val="002C1080"/>
    <w:rsid w:val="002C1756"/>
    <w:rsid w:val="002C1FC3"/>
    <w:rsid w:val="002C36BE"/>
    <w:rsid w:val="002C69B2"/>
    <w:rsid w:val="002D0399"/>
    <w:rsid w:val="002D255E"/>
    <w:rsid w:val="002D32AD"/>
    <w:rsid w:val="002D5EC6"/>
    <w:rsid w:val="002D6DA8"/>
    <w:rsid w:val="002E0340"/>
    <w:rsid w:val="002E544F"/>
    <w:rsid w:val="002E64F1"/>
    <w:rsid w:val="00300AFE"/>
    <w:rsid w:val="00303318"/>
    <w:rsid w:val="00305A0C"/>
    <w:rsid w:val="00316A2C"/>
    <w:rsid w:val="0031762F"/>
    <w:rsid w:val="00320028"/>
    <w:rsid w:val="00321536"/>
    <w:rsid w:val="00321907"/>
    <w:rsid w:val="0032558C"/>
    <w:rsid w:val="00327EC5"/>
    <w:rsid w:val="00334710"/>
    <w:rsid w:val="00334B2C"/>
    <w:rsid w:val="00335640"/>
    <w:rsid w:val="00335935"/>
    <w:rsid w:val="00337F56"/>
    <w:rsid w:val="003422DE"/>
    <w:rsid w:val="0034549A"/>
    <w:rsid w:val="0034687F"/>
    <w:rsid w:val="00347990"/>
    <w:rsid w:val="003504BF"/>
    <w:rsid w:val="003512FF"/>
    <w:rsid w:val="0035480B"/>
    <w:rsid w:val="003569AC"/>
    <w:rsid w:val="0035702F"/>
    <w:rsid w:val="00362B20"/>
    <w:rsid w:val="00364CD9"/>
    <w:rsid w:val="00370966"/>
    <w:rsid w:val="003736AF"/>
    <w:rsid w:val="003767F5"/>
    <w:rsid w:val="003816AB"/>
    <w:rsid w:val="003832B6"/>
    <w:rsid w:val="00387356"/>
    <w:rsid w:val="00393796"/>
    <w:rsid w:val="00395BCB"/>
    <w:rsid w:val="00397375"/>
    <w:rsid w:val="00397EA3"/>
    <w:rsid w:val="003A0310"/>
    <w:rsid w:val="003A0D18"/>
    <w:rsid w:val="003B03B0"/>
    <w:rsid w:val="003B5326"/>
    <w:rsid w:val="003B76FC"/>
    <w:rsid w:val="003C1546"/>
    <w:rsid w:val="003C1DDA"/>
    <w:rsid w:val="003C291F"/>
    <w:rsid w:val="003D0261"/>
    <w:rsid w:val="003D163E"/>
    <w:rsid w:val="003D316F"/>
    <w:rsid w:val="003D3182"/>
    <w:rsid w:val="003D4B49"/>
    <w:rsid w:val="003E25EA"/>
    <w:rsid w:val="003E6BAD"/>
    <w:rsid w:val="003E7515"/>
    <w:rsid w:val="003E7F57"/>
    <w:rsid w:val="003F3997"/>
    <w:rsid w:val="003F53C9"/>
    <w:rsid w:val="004111C8"/>
    <w:rsid w:val="00411634"/>
    <w:rsid w:val="00412A51"/>
    <w:rsid w:val="004206F9"/>
    <w:rsid w:val="004243EF"/>
    <w:rsid w:val="00425A20"/>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6541"/>
    <w:rsid w:val="00486E50"/>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94A"/>
    <w:rsid w:val="00514D5F"/>
    <w:rsid w:val="00516AFA"/>
    <w:rsid w:val="00516C57"/>
    <w:rsid w:val="00517F9D"/>
    <w:rsid w:val="005201FF"/>
    <w:rsid w:val="00527AE1"/>
    <w:rsid w:val="0053224C"/>
    <w:rsid w:val="005354DC"/>
    <w:rsid w:val="00536A18"/>
    <w:rsid w:val="0054125F"/>
    <w:rsid w:val="00543DA8"/>
    <w:rsid w:val="00544899"/>
    <w:rsid w:val="00546E9D"/>
    <w:rsid w:val="00551E14"/>
    <w:rsid w:val="00553C58"/>
    <w:rsid w:val="00553DF7"/>
    <w:rsid w:val="0056444A"/>
    <w:rsid w:val="00567D84"/>
    <w:rsid w:val="0057584D"/>
    <w:rsid w:val="00582F77"/>
    <w:rsid w:val="0059083D"/>
    <w:rsid w:val="00595041"/>
    <w:rsid w:val="005A01FF"/>
    <w:rsid w:val="005A175B"/>
    <w:rsid w:val="005A5C7B"/>
    <w:rsid w:val="005B431B"/>
    <w:rsid w:val="005C02FE"/>
    <w:rsid w:val="005C0784"/>
    <w:rsid w:val="005C1E75"/>
    <w:rsid w:val="005C2437"/>
    <w:rsid w:val="005C3015"/>
    <w:rsid w:val="005C39CF"/>
    <w:rsid w:val="005C48AE"/>
    <w:rsid w:val="005C51C1"/>
    <w:rsid w:val="005C61AE"/>
    <w:rsid w:val="005C78E5"/>
    <w:rsid w:val="005D08B4"/>
    <w:rsid w:val="005D2143"/>
    <w:rsid w:val="005E281F"/>
    <w:rsid w:val="005E541C"/>
    <w:rsid w:val="005E5C79"/>
    <w:rsid w:val="005E6488"/>
    <w:rsid w:val="005F463D"/>
    <w:rsid w:val="005F6358"/>
    <w:rsid w:val="006025E4"/>
    <w:rsid w:val="00602E7E"/>
    <w:rsid w:val="00606660"/>
    <w:rsid w:val="00607027"/>
    <w:rsid w:val="00612B55"/>
    <w:rsid w:val="006214C8"/>
    <w:rsid w:val="006225C4"/>
    <w:rsid w:val="0062294F"/>
    <w:rsid w:val="006242BB"/>
    <w:rsid w:val="006249F0"/>
    <w:rsid w:val="00624EE6"/>
    <w:rsid w:val="00626B5F"/>
    <w:rsid w:val="006270F1"/>
    <w:rsid w:val="006309F9"/>
    <w:rsid w:val="00632FAA"/>
    <w:rsid w:val="00637261"/>
    <w:rsid w:val="0064050C"/>
    <w:rsid w:val="006408B1"/>
    <w:rsid w:val="006505B0"/>
    <w:rsid w:val="006513D3"/>
    <w:rsid w:val="00651BD9"/>
    <w:rsid w:val="006521B8"/>
    <w:rsid w:val="00657F95"/>
    <w:rsid w:val="00666714"/>
    <w:rsid w:val="00672B9B"/>
    <w:rsid w:val="00672DE2"/>
    <w:rsid w:val="00673B7A"/>
    <w:rsid w:val="00684EB3"/>
    <w:rsid w:val="006A1C3F"/>
    <w:rsid w:val="006A2910"/>
    <w:rsid w:val="006A35B2"/>
    <w:rsid w:val="006A4DC2"/>
    <w:rsid w:val="006A77D6"/>
    <w:rsid w:val="006A7F2C"/>
    <w:rsid w:val="006B1367"/>
    <w:rsid w:val="006B4B99"/>
    <w:rsid w:val="006B6C80"/>
    <w:rsid w:val="006C3E43"/>
    <w:rsid w:val="006C44AF"/>
    <w:rsid w:val="006C782B"/>
    <w:rsid w:val="006D4AFF"/>
    <w:rsid w:val="006D4B1B"/>
    <w:rsid w:val="006D4DCC"/>
    <w:rsid w:val="006D559B"/>
    <w:rsid w:val="006D77DA"/>
    <w:rsid w:val="006E1A9B"/>
    <w:rsid w:val="006E2338"/>
    <w:rsid w:val="006E2D55"/>
    <w:rsid w:val="006E40C7"/>
    <w:rsid w:val="006E68A7"/>
    <w:rsid w:val="006F289F"/>
    <w:rsid w:val="006F28E4"/>
    <w:rsid w:val="006F32AA"/>
    <w:rsid w:val="006F3BBA"/>
    <w:rsid w:val="0070429F"/>
    <w:rsid w:val="007062A7"/>
    <w:rsid w:val="00706BA7"/>
    <w:rsid w:val="00707E5D"/>
    <w:rsid w:val="00712B97"/>
    <w:rsid w:val="007148DE"/>
    <w:rsid w:val="00715012"/>
    <w:rsid w:val="00715E23"/>
    <w:rsid w:val="00716548"/>
    <w:rsid w:val="00716B7A"/>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0812"/>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160FB"/>
    <w:rsid w:val="008210A6"/>
    <w:rsid w:val="00822096"/>
    <w:rsid w:val="00827A40"/>
    <w:rsid w:val="008359A8"/>
    <w:rsid w:val="00841BE2"/>
    <w:rsid w:val="008426BA"/>
    <w:rsid w:val="00843D87"/>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964"/>
    <w:rsid w:val="008D5F8F"/>
    <w:rsid w:val="008D6AED"/>
    <w:rsid w:val="008E584D"/>
    <w:rsid w:val="008E62E9"/>
    <w:rsid w:val="008F47B1"/>
    <w:rsid w:val="009038BB"/>
    <w:rsid w:val="00905F9C"/>
    <w:rsid w:val="009067F0"/>
    <w:rsid w:val="00907EB0"/>
    <w:rsid w:val="00912A1D"/>
    <w:rsid w:val="009142FC"/>
    <w:rsid w:val="00916006"/>
    <w:rsid w:val="00922068"/>
    <w:rsid w:val="00924775"/>
    <w:rsid w:val="0092719B"/>
    <w:rsid w:val="0093397B"/>
    <w:rsid w:val="00933A4C"/>
    <w:rsid w:val="00940AA2"/>
    <w:rsid w:val="00943E35"/>
    <w:rsid w:val="00944BA0"/>
    <w:rsid w:val="00946248"/>
    <w:rsid w:val="009509FD"/>
    <w:rsid w:val="009533A6"/>
    <w:rsid w:val="00956C8E"/>
    <w:rsid w:val="009610F0"/>
    <w:rsid w:val="00964CEB"/>
    <w:rsid w:val="00965B22"/>
    <w:rsid w:val="009704AA"/>
    <w:rsid w:val="0097517B"/>
    <w:rsid w:val="00977103"/>
    <w:rsid w:val="00982031"/>
    <w:rsid w:val="00983EF3"/>
    <w:rsid w:val="00985C56"/>
    <w:rsid w:val="00986D3D"/>
    <w:rsid w:val="00992C6B"/>
    <w:rsid w:val="00995EAE"/>
    <w:rsid w:val="009A16D5"/>
    <w:rsid w:val="009A2F28"/>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F20B8"/>
    <w:rsid w:val="009F3E18"/>
    <w:rsid w:val="009F41AE"/>
    <w:rsid w:val="00A00BD0"/>
    <w:rsid w:val="00A0218C"/>
    <w:rsid w:val="00A0302F"/>
    <w:rsid w:val="00A063A1"/>
    <w:rsid w:val="00A12522"/>
    <w:rsid w:val="00A125D3"/>
    <w:rsid w:val="00A16193"/>
    <w:rsid w:val="00A20A57"/>
    <w:rsid w:val="00A211B8"/>
    <w:rsid w:val="00A22608"/>
    <w:rsid w:val="00A257B8"/>
    <w:rsid w:val="00A32B8B"/>
    <w:rsid w:val="00A33B0A"/>
    <w:rsid w:val="00A371DB"/>
    <w:rsid w:val="00A45D29"/>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D2B"/>
    <w:rsid w:val="00A84E41"/>
    <w:rsid w:val="00A96801"/>
    <w:rsid w:val="00AA3E21"/>
    <w:rsid w:val="00AA41D4"/>
    <w:rsid w:val="00AA4BBC"/>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2BB"/>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75A74"/>
    <w:rsid w:val="00B82416"/>
    <w:rsid w:val="00B858F0"/>
    <w:rsid w:val="00B92DDF"/>
    <w:rsid w:val="00B964E3"/>
    <w:rsid w:val="00B97BED"/>
    <w:rsid w:val="00BA1AE8"/>
    <w:rsid w:val="00BA24D9"/>
    <w:rsid w:val="00BB0368"/>
    <w:rsid w:val="00BB49AD"/>
    <w:rsid w:val="00BB5065"/>
    <w:rsid w:val="00BB5C60"/>
    <w:rsid w:val="00BB6B53"/>
    <w:rsid w:val="00BB700A"/>
    <w:rsid w:val="00BC1D5A"/>
    <w:rsid w:val="00BC5C31"/>
    <w:rsid w:val="00BC5D65"/>
    <w:rsid w:val="00BC5E18"/>
    <w:rsid w:val="00BD02D8"/>
    <w:rsid w:val="00BD5B04"/>
    <w:rsid w:val="00BE1451"/>
    <w:rsid w:val="00BE3287"/>
    <w:rsid w:val="00BE522D"/>
    <w:rsid w:val="00BF02FA"/>
    <w:rsid w:val="00BF0C79"/>
    <w:rsid w:val="00BF1DF5"/>
    <w:rsid w:val="00BF50E1"/>
    <w:rsid w:val="00C00D54"/>
    <w:rsid w:val="00C01923"/>
    <w:rsid w:val="00C12F02"/>
    <w:rsid w:val="00C13AA2"/>
    <w:rsid w:val="00C238DB"/>
    <w:rsid w:val="00C23955"/>
    <w:rsid w:val="00C24F4B"/>
    <w:rsid w:val="00C26508"/>
    <w:rsid w:val="00C275E9"/>
    <w:rsid w:val="00C27AA2"/>
    <w:rsid w:val="00C3089D"/>
    <w:rsid w:val="00C32D59"/>
    <w:rsid w:val="00C32F9E"/>
    <w:rsid w:val="00C3345A"/>
    <w:rsid w:val="00C369E9"/>
    <w:rsid w:val="00C46976"/>
    <w:rsid w:val="00C47FF6"/>
    <w:rsid w:val="00C5228B"/>
    <w:rsid w:val="00C527A1"/>
    <w:rsid w:val="00C62383"/>
    <w:rsid w:val="00C73CAA"/>
    <w:rsid w:val="00C823A4"/>
    <w:rsid w:val="00C83A02"/>
    <w:rsid w:val="00C85511"/>
    <w:rsid w:val="00C87950"/>
    <w:rsid w:val="00C9099E"/>
    <w:rsid w:val="00C92AFF"/>
    <w:rsid w:val="00C95E86"/>
    <w:rsid w:val="00CA1398"/>
    <w:rsid w:val="00CA2577"/>
    <w:rsid w:val="00CA32C2"/>
    <w:rsid w:val="00CA3320"/>
    <w:rsid w:val="00CC339E"/>
    <w:rsid w:val="00CC3DC0"/>
    <w:rsid w:val="00CC475D"/>
    <w:rsid w:val="00CC5377"/>
    <w:rsid w:val="00CC68BF"/>
    <w:rsid w:val="00CC6A32"/>
    <w:rsid w:val="00CD1B89"/>
    <w:rsid w:val="00CD2E07"/>
    <w:rsid w:val="00CD42C9"/>
    <w:rsid w:val="00CD6369"/>
    <w:rsid w:val="00CE0B03"/>
    <w:rsid w:val="00CE280B"/>
    <w:rsid w:val="00CE510C"/>
    <w:rsid w:val="00CE782A"/>
    <w:rsid w:val="00CF0694"/>
    <w:rsid w:val="00D01E56"/>
    <w:rsid w:val="00D03F4C"/>
    <w:rsid w:val="00D06FFC"/>
    <w:rsid w:val="00D16DE9"/>
    <w:rsid w:val="00D177BC"/>
    <w:rsid w:val="00D211D5"/>
    <w:rsid w:val="00D24669"/>
    <w:rsid w:val="00D24C1F"/>
    <w:rsid w:val="00D26595"/>
    <w:rsid w:val="00D26849"/>
    <w:rsid w:val="00D32877"/>
    <w:rsid w:val="00D332B7"/>
    <w:rsid w:val="00D344B5"/>
    <w:rsid w:val="00D410E6"/>
    <w:rsid w:val="00D42DB7"/>
    <w:rsid w:val="00D452BD"/>
    <w:rsid w:val="00D5240C"/>
    <w:rsid w:val="00D52EFD"/>
    <w:rsid w:val="00D67A08"/>
    <w:rsid w:val="00D762C7"/>
    <w:rsid w:val="00D80FBC"/>
    <w:rsid w:val="00D82394"/>
    <w:rsid w:val="00D83615"/>
    <w:rsid w:val="00D87B9D"/>
    <w:rsid w:val="00D9456C"/>
    <w:rsid w:val="00D95E41"/>
    <w:rsid w:val="00DA4CF2"/>
    <w:rsid w:val="00DA4F5F"/>
    <w:rsid w:val="00DA653D"/>
    <w:rsid w:val="00DA666E"/>
    <w:rsid w:val="00DB3315"/>
    <w:rsid w:val="00DB59C8"/>
    <w:rsid w:val="00DC50D1"/>
    <w:rsid w:val="00DC681C"/>
    <w:rsid w:val="00DD0D1C"/>
    <w:rsid w:val="00DD1DA5"/>
    <w:rsid w:val="00DD4017"/>
    <w:rsid w:val="00DD64A4"/>
    <w:rsid w:val="00DD6EC1"/>
    <w:rsid w:val="00DE0A69"/>
    <w:rsid w:val="00DE19AD"/>
    <w:rsid w:val="00DE5F89"/>
    <w:rsid w:val="00DE63FD"/>
    <w:rsid w:val="00DF18B5"/>
    <w:rsid w:val="00DF1B3F"/>
    <w:rsid w:val="00DF69E3"/>
    <w:rsid w:val="00DF7950"/>
    <w:rsid w:val="00E00EBF"/>
    <w:rsid w:val="00E014D0"/>
    <w:rsid w:val="00E0264C"/>
    <w:rsid w:val="00E048B4"/>
    <w:rsid w:val="00E06273"/>
    <w:rsid w:val="00E12942"/>
    <w:rsid w:val="00E20D4E"/>
    <w:rsid w:val="00E21B0C"/>
    <w:rsid w:val="00E236CE"/>
    <w:rsid w:val="00E274D6"/>
    <w:rsid w:val="00E30436"/>
    <w:rsid w:val="00E3221B"/>
    <w:rsid w:val="00E32C4B"/>
    <w:rsid w:val="00E41C5F"/>
    <w:rsid w:val="00E50AEB"/>
    <w:rsid w:val="00E5276F"/>
    <w:rsid w:val="00E54E90"/>
    <w:rsid w:val="00E553BD"/>
    <w:rsid w:val="00E739FE"/>
    <w:rsid w:val="00E83B1D"/>
    <w:rsid w:val="00E85523"/>
    <w:rsid w:val="00E935DD"/>
    <w:rsid w:val="00EA0F68"/>
    <w:rsid w:val="00EA58C4"/>
    <w:rsid w:val="00EA7FCA"/>
    <w:rsid w:val="00EB1B60"/>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2977"/>
    <w:rsid w:val="00F03D82"/>
    <w:rsid w:val="00F0435A"/>
    <w:rsid w:val="00F048FF"/>
    <w:rsid w:val="00F13240"/>
    <w:rsid w:val="00F17CC2"/>
    <w:rsid w:val="00F17F2B"/>
    <w:rsid w:val="00F24B0B"/>
    <w:rsid w:val="00F25E95"/>
    <w:rsid w:val="00F30F74"/>
    <w:rsid w:val="00F34FCB"/>
    <w:rsid w:val="00F47C3E"/>
    <w:rsid w:val="00F53290"/>
    <w:rsid w:val="00F55E49"/>
    <w:rsid w:val="00F56535"/>
    <w:rsid w:val="00F60DBE"/>
    <w:rsid w:val="00F60E04"/>
    <w:rsid w:val="00F73DF4"/>
    <w:rsid w:val="00F77963"/>
    <w:rsid w:val="00F81739"/>
    <w:rsid w:val="00F81982"/>
    <w:rsid w:val="00F83C4F"/>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05342E36"/>
    <w:rsid w:val="1CCC2B4A"/>
    <w:rsid w:val="3E8270F0"/>
    <w:rsid w:val="7234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A20"/>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0"/>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
    <w:basedOn w:val="Normal"/>
    <w:link w:val="ListParagraphChar"/>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
    <w:link w:val="ListParagraph"/>
    <w:uiPriority w:val="34"/>
    <w:qFormat/>
    <w:rsid w:val="0022164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0163">
      <w:bodyDiv w:val="1"/>
      <w:marLeft w:val="0"/>
      <w:marRight w:val="0"/>
      <w:marTop w:val="0"/>
      <w:marBottom w:val="0"/>
      <w:divBdr>
        <w:top w:val="none" w:sz="0" w:space="0" w:color="auto"/>
        <w:left w:val="none" w:sz="0" w:space="0" w:color="auto"/>
        <w:bottom w:val="none" w:sz="0" w:space="0" w:color="auto"/>
        <w:right w:val="none" w:sz="0" w:space="0" w:color="auto"/>
      </w:divBdr>
    </w:div>
    <w:div w:id="255792161">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footer" Target="footer2.xml"/><Relationship Id="rId26" Type="http://schemas.openxmlformats.org/officeDocument/2006/relationships/hyperlink" Target="https://www.england.nhs.uk/publication/responsibility-for-prescribing-between-primary-and-secondary-tertiary-care/" TargetMode="External"/><Relationship Id="rId3" Type="http://schemas.openxmlformats.org/officeDocument/2006/relationships/customXml" Target="../customXml/item3.xml"/><Relationship Id="rId21" Type="http://schemas.openxmlformats.org/officeDocument/2006/relationships/hyperlink" Target="https://bnf.nice.org.uk/drugs/" TargetMode="External"/><Relationship Id="rId7" Type="http://schemas.openxmlformats.org/officeDocument/2006/relationships/settings" Target="settings.xml"/><Relationship Id="rId12" Type="http://schemas.openxmlformats.org/officeDocument/2006/relationships/hyperlink" Target="https://bnf.nice.org.uk/" TargetMode="External"/><Relationship Id="rId17" Type="http://schemas.openxmlformats.org/officeDocument/2006/relationships/header" Target="header1.xml"/><Relationship Id="rId25" Type="http://schemas.openxmlformats.org/officeDocument/2006/relationships/hyperlink" Target="https://yellowcard.mhra.gov.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hs.uk/nhs-services/online-services/view-your-test-resul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www.medicines.org.uk/emc/" TargetMode="External"/><Relationship Id="rId5" Type="http://schemas.openxmlformats.org/officeDocument/2006/relationships/numbering" Target="numbering.xml"/><Relationship Id="rId15" Type="http://schemas.openxmlformats.org/officeDocument/2006/relationships/hyperlink" Target="https://medicines.bedfordshirelutonandmiltonkeynes.icb.nhs.uk/guideline/bedfordshire-luton-and-milton-keynes-blmk-principles-for-shared-care/" TargetMode="External"/><Relationship Id="rId23" Type="http://schemas.openxmlformats.org/officeDocument/2006/relationships/hyperlink" Target="https://bnf.nice.org.uk/drugs/" TargetMode="External"/><Relationship Id="rId28" Type="http://schemas.openxmlformats.org/officeDocument/2006/relationships/hyperlink" Target="https://www.nice.org.uk/guidance/ng197/" TargetMode="External"/><Relationship Id="rId10" Type="http://schemas.openxmlformats.org/officeDocument/2006/relationships/endnotes" Target="endnotes.xml"/><Relationship Id="rId19" Type="http://schemas.openxmlformats.org/officeDocument/2006/relationships/hyperlink" Target="https://medicines.bedfordshirelutonandmiltonkeynes.icb.nhs.uk/guideline/bedfordshire-luton-and-milton-keynes-blmk-principles-for-shared-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www.medicines.org.uk/emc/" TargetMode="External"/><Relationship Id="rId27" Type="http://schemas.openxmlformats.org/officeDocument/2006/relationships/hyperlink" Target="https://www.gmc-uk.org/ethical-guidance/ethical-guidance-for-doctors/good-practice-in-prescribing-and-managing-medicines-and-devices/shared-car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5083591-FD7D-427C-94D0-8E6ABE21205E}">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43a50285-5f70-4108-b46d-573e29e5fa14"/>
    <ds:schemaRef ds:uri="8389b850-4317-40c2-99d6-552fc77bed1b"/>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09A41A7-05D8-4234-AB87-90A4F1ACB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4.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GRAEFF, Anne (NHS BEDFORDSHIRE, LUTON AND MILTON KEYNES ICB - M1J4Y)</cp:lastModifiedBy>
  <cp:revision>4</cp:revision>
  <cp:lastPrinted>2025-07-17T12:06:00Z</cp:lastPrinted>
  <dcterms:created xsi:type="dcterms:W3CDTF">2025-07-17T11:18:00Z</dcterms:created>
  <dcterms:modified xsi:type="dcterms:W3CDTF">2025-07-17T12:11:00Z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