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E4B0" w14:textId="32ACAD90" w:rsidR="00642EFD" w:rsidRDefault="00642EFD" w:rsidP="009D7F6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7614E7" wp14:editId="696A7F2A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12204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51" y="20716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F517D0" wp14:editId="4A9F7B27">
            <wp:extent cx="1795145" cy="862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3BCC3FF1" w14:textId="77777777" w:rsidR="00642EFD" w:rsidRDefault="00642EFD" w:rsidP="009D7F65">
      <w:pPr>
        <w:rPr>
          <w:u w:val="single"/>
        </w:rPr>
      </w:pPr>
    </w:p>
    <w:p w14:paraId="7C53C3D2" w14:textId="77777777" w:rsidR="00642EFD" w:rsidRDefault="00642EFD" w:rsidP="009D7F65">
      <w:pPr>
        <w:rPr>
          <w:u w:val="single"/>
        </w:rPr>
      </w:pPr>
    </w:p>
    <w:p w14:paraId="4D3B1CA6" w14:textId="25BDC5A3" w:rsidR="009D7F65" w:rsidRPr="009F2CDB" w:rsidRDefault="009D7F65" w:rsidP="009D7F65">
      <w:pPr>
        <w:rPr>
          <w:u w:val="single"/>
        </w:rPr>
      </w:pPr>
      <w:r>
        <w:rPr>
          <w:u w:val="single"/>
        </w:rPr>
        <w:t>I</w:t>
      </w:r>
      <w:r w:rsidRPr="009F2CDB">
        <w:rPr>
          <w:u w:val="single"/>
        </w:rPr>
        <w:t>nterim commissioning position:</w:t>
      </w:r>
    </w:p>
    <w:p w14:paraId="6FC6EC23" w14:textId="77777777" w:rsidR="009D7F65" w:rsidRDefault="009D7F65" w:rsidP="009D7F65"/>
    <w:p w14:paraId="3D5DE0C5" w14:textId="77777777" w:rsidR="009D7F65" w:rsidRDefault="009D7F65" w:rsidP="009D7F65">
      <w:r>
        <w:t xml:space="preserve">To standardise process and respond to the needs within the local ICS for funding of HCDs for clinical indications which would generally be funded by NHS England for </w:t>
      </w:r>
      <w:r w:rsidRPr="00C26758">
        <w:t>Children and young people (CYP)</w:t>
      </w:r>
      <w:r>
        <w:t>, and then transfer to CCG routine commissioning for adults, it is proposed that the following interim commissioning statement is adopted:</w:t>
      </w:r>
    </w:p>
    <w:p w14:paraId="5584A854" w14:textId="77777777" w:rsidR="009D7F65" w:rsidRDefault="009D7F65" w:rsidP="009D7F65"/>
    <w:p w14:paraId="5D3A7249" w14:textId="77777777" w:rsidR="009D7F65" w:rsidRDefault="009D7F65" w:rsidP="009D7F65">
      <w:proofErr w:type="spellStart"/>
      <w:r>
        <w:t>Bedfordshire,</w:t>
      </w:r>
      <w:proofErr w:type="spellEnd"/>
      <w:r>
        <w:t xml:space="preserve"> Luton &amp; Milton Keynes CCG/ICB will commission </w:t>
      </w:r>
      <w:proofErr w:type="gramStart"/>
      <w:r>
        <w:t>high cost</w:t>
      </w:r>
      <w:proofErr w:type="gramEnd"/>
      <w:r>
        <w:t xml:space="preserve"> drugs for paediatric patients in the following circumstances:</w:t>
      </w:r>
    </w:p>
    <w:p w14:paraId="263F3735" w14:textId="77777777" w:rsidR="009D7F65" w:rsidRDefault="009D7F65" w:rsidP="009D7F65"/>
    <w:p w14:paraId="6235BA2D" w14:textId="77777777" w:rsidR="009D7F65" w:rsidRDefault="009D7F65" w:rsidP="009D7F65">
      <w:pPr>
        <w:pStyle w:val="ListParagraph"/>
        <w:numPr>
          <w:ilvl w:val="0"/>
          <w:numId w:val="1"/>
        </w:numPr>
        <w:ind w:left="709" w:right="101" w:hanging="425"/>
      </w:pPr>
      <w:r>
        <w:t xml:space="preserve">The patient is aged 16 or 17 years </w:t>
      </w:r>
      <w:r w:rsidRPr="00534866">
        <w:rPr>
          <w:u w:val="single"/>
        </w:rPr>
        <w:t>and</w:t>
      </w:r>
      <w:r>
        <w:t xml:space="preserve"> is under the care of the relevant adult service.</w:t>
      </w:r>
    </w:p>
    <w:p w14:paraId="42344CF4" w14:textId="77777777" w:rsidR="009D7F65" w:rsidRDefault="009D7F65" w:rsidP="009D7F65">
      <w:pPr>
        <w:pStyle w:val="ListParagraph"/>
        <w:numPr>
          <w:ilvl w:val="0"/>
          <w:numId w:val="1"/>
        </w:numPr>
        <w:ind w:left="709" w:right="101" w:hanging="425"/>
      </w:pPr>
      <w:r>
        <w:t>The request is for a medicine</w:t>
      </w:r>
      <w:r w:rsidRPr="00C43FD4">
        <w:t xml:space="preserve"> approved by NICE for adult conditions </w:t>
      </w:r>
      <w:r>
        <w:t>which wou</w:t>
      </w:r>
      <w:r w:rsidRPr="00C43FD4">
        <w:t>l</w:t>
      </w:r>
      <w:r>
        <w:t xml:space="preserve">d </w:t>
      </w:r>
      <w:r w:rsidRPr="00C43FD4">
        <w:t>be commissioned</w:t>
      </w:r>
      <w:r>
        <w:t xml:space="preserve"> by NHS England</w:t>
      </w:r>
      <w:r w:rsidRPr="00C43FD4">
        <w:t xml:space="preserve"> in children at specialised paediatric centres</w:t>
      </w:r>
      <w:r>
        <w:t>. Namely:</w:t>
      </w:r>
    </w:p>
    <w:p w14:paraId="6B79091A" w14:textId="77777777" w:rsidR="009D7F65" w:rsidRDefault="009D7F65" w:rsidP="009D7F65">
      <w:pPr>
        <w:pStyle w:val="ListParagraph"/>
        <w:numPr>
          <w:ilvl w:val="1"/>
          <w:numId w:val="3"/>
        </w:numPr>
        <w:ind w:left="1276" w:right="101"/>
      </w:pPr>
      <w:r>
        <w:t>T</w:t>
      </w:r>
      <w:r w:rsidRPr="00C43FD4">
        <w:t xml:space="preserve">he patient meets the NICE </w:t>
      </w:r>
      <w:r>
        <w:t xml:space="preserve">(adult) </w:t>
      </w:r>
      <w:r w:rsidRPr="00C43FD4">
        <w:t xml:space="preserve">criteria and there is evidence to suggest that the drug is safe and clinically appropriate to use in children as per the NHS England Medicines for Children Policy (see </w:t>
      </w:r>
      <w:hyperlink r:id="rId9" w:history="1">
        <w:r w:rsidRPr="00A758F2">
          <w:rPr>
            <w:rStyle w:val="Hyperlink"/>
          </w:rPr>
          <w:t>https://www.england.nhs.uk/publication/commissioning-medicines-for-children-specialised-services/</w:t>
        </w:r>
      </w:hyperlink>
      <w:r>
        <w:t>)</w:t>
      </w:r>
    </w:p>
    <w:p w14:paraId="1D5F09D5" w14:textId="77777777" w:rsidR="009D7F65" w:rsidRDefault="009D7F65" w:rsidP="009D7F65">
      <w:pPr>
        <w:pStyle w:val="ListParagraph"/>
        <w:numPr>
          <w:ilvl w:val="1"/>
          <w:numId w:val="3"/>
        </w:numPr>
        <w:ind w:left="1276" w:right="101"/>
      </w:pPr>
      <w:r>
        <w:t xml:space="preserve">There is </w:t>
      </w:r>
      <w:proofErr w:type="gramStart"/>
      <w:r>
        <w:t>a</w:t>
      </w:r>
      <w:proofErr w:type="gramEnd"/>
      <w:r>
        <w:t xml:space="preserve"> NHS England </w:t>
      </w:r>
      <w:r w:rsidRPr="00C43FD4">
        <w:t>Blueteq form available</w:t>
      </w:r>
      <w:r>
        <w:t xml:space="preserve"> for the treatment/condition</w:t>
      </w:r>
      <w:r w:rsidRPr="00C43FD4">
        <w:t>.</w:t>
      </w:r>
    </w:p>
    <w:p w14:paraId="6208ECB2" w14:textId="77777777" w:rsidR="009D7F65" w:rsidRDefault="009D7F65" w:rsidP="009D7F65">
      <w:pPr>
        <w:pStyle w:val="ListParagraph"/>
        <w:numPr>
          <w:ilvl w:val="0"/>
          <w:numId w:val="1"/>
        </w:numPr>
        <w:ind w:left="851" w:right="101" w:hanging="567"/>
      </w:pPr>
      <w:r>
        <w:t xml:space="preserve">A </w:t>
      </w:r>
      <w:proofErr w:type="gramStart"/>
      <w:r>
        <w:t>high cost</w:t>
      </w:r>
      <w:proofErr w:type="gramEnd"/>
      <w:r>
        <w:t xml:space="preserve"> drug funding form has been submitted to the CCG/ICB (preferably via Blueteq).</w:t>
      </w:r>
    </w:p>
    <w:p w14:paraId="0B6D4AF9" w14:textId="77777777" w:rsidR="009D7F65" w:rsidRDefault="009D7F65" w:rsidP="009D7F65">
      <w:pPr>
        <w:ind w:right="101"/>
      </w:pPr>
    </w:p>
    <w:p w14:paraId="7AE1F1EB" w14:textId="77777777" w:rsidR="009D7F65" w:rsidRDefault="009D7F65" w:rsidP="009D7F65">
      <w:pPr>
        <w:ind w:right="101"/>
      </w:pPr>
      <w:r>
        <w:t>These conditions will not apply when:</w:t>
      </w:r>
    </w:p>
    <w:p w14:paraId="490ABECE" w14:textId="77777777" w:rsidR="009D7F65" w:rsidRDefault="009D7F65" w:rsidP="009D7F65">
      <w:pPr>
        <w:pStyle w:val="ListParagraph"/>
        <w:numPr>
          <w:ilvl w:val="0"/>
          <w:numId w:val="2"/>
        </w:numPr>
        <w:ind w:right="101"/>
      </w:pPr>
      <w:r>
        <w:t xml:space="preserve">The medicine is routinely commissioned by the CCG/ICB for the medication and condition being requested </w:t>
      </w:r>
      <w:proofErr w:type="gramStart"/>
      <w:r>
        <w:t>i.e.</w:t>
      </w:r>
      <w:proofErr w:type="gramEnd"/>
      <w:r>
        <w:t xml:space="preserve"> there is NICE technology appraisal guidance or a local policy available which applies to children and young people &lt;18 years of age and the CCG/ICB is the responsible commissioner.</w:t>
      </w:r>
    </w:p>
    <w:p w14:paraId="3C46B72F" w14:textId="77777777" w:rsidR="009D7F65" w:rsidRDefault="009D7F65" w:rsidP="009D7F65">
      <w:pPr>
        <w:pStyle w:val="ListParagraph"/>
        <w:numPr>
          <w:ilvl w:val="0"/>
          <w:numId w:val="2"/>
        </w:numPr>
        <w:ind w:right="101"/>
      </w:pPr>
      <w:r>
        <w:t>The medicine is not routinely commissioned by the CCG/ICB for the medication and clinical condition being requested.</w:t>
      </w:r>
    </w:p>
    <w:p w14:paraId="7FEE5173" w14:textId="77777777" w:rsidR="009D7F65" w:rsidRDefault="009D7F65" w:rsidP="009D7F65">
      <w:pPr>
        <w:pStyle w:val="ListParagraph"/>
        <w:numPr>
          <w:ilvl w:val="0"/>
          <w:numId w:val="2"/>
        </w:numPr>
        <w:ind w:right="101"/>
      </w:pPr>
      <w:r>
        <w:t>The request is received from a Trust in another area and the host commissioner has a different policy in place (informal or formal).</w:t>
      </w:r>
    </w:p>
    <w:p w14:paraId="74B79EA3" w14:textId="77777777" w:rsidR="009D7F65" w:rsidRDefault="009D7F65" w:rsidP="009D7F65">
      <w:pPr>
        <w:ind w:right="101"/>
      </w:pPr>
    </w:p>
    <w:p w14:paraId="434DC8C7" w14:textId="77777777" w:rsidR="009D7F65" w:rsidRDefault="009D7F65" w:rsidP="009D7F65">
      <w:pPr>
        <w:ind w:right="101"/>
      </w:pPr>
      <w:r>
        <w:t xml:space="preserve">If the above conditions are not met, submission of an individual funding request (IFR) will be required.  See </w:t>
      </w:r>
      <w:hyperlink r:id="rId10" w:history="1">
        <w:r w:rsidRPr="001E0703">
          <w:rPr>
            <w:rStyle w:val="Hyperlink"/>
          </w:rPr>
          <w:t>https://www.blmkccg.nhs.uk/your-health/individual-funding/policy-and-process/</w:t>
        </w:r>
      </w:hyperlink>
      <w:r>
        <w:t xml:space="preserve"> for more information.</w:t>
      </w:r>
    </w:p>
    <w:p w14:paraId="0A71BFD6" w14:textId="77777777" w:rsidR="004005CC" w:rsidRPr="00EC1FD5" w:rsidRDefault="004005CC">
      <w:pPr>
        <w:rPr>
          <w:rFonts w:cs="Arial"/>
        </w:rPr>
      </w:pPr>
    </w:p>
    <w:sectPr w:rsidR="004005CC" w:rsidRPr="00EC1FD5" w:rsidSect="002D33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0" w:right="1080" w:bottom="108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1001" w14:textId="77777777" w:rsidR="00000000" w:rsidRDefault="00642EFD">
      <w:r>
        <w:separator/>
      </w:r>
    </w:p>
  </w:endnote>
  <w:endnote w:type="continuationSeparator" w:id="0">
    <w:p w14:paraId="40A966EC" w14:textId="77777777" w:rsidR="00000000" w:rsidRDefault="006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DB9" w14:textId="77777777" w:rsidR="008A120E" w:rsidRDefault="0064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875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35F43" w14:textId="77777777" w:rsidR="00530E28" w:rsidRDefault="009D7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56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760C4" w14:textId="77777777" w:rsidR="002D33D1" w:rsidRDefault="009D7F6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C783FA1" w14:textId="77777777" w:rsidR="002D33D1" w:rsidRDefault="009D7F65" w:rsidP="002D33D1">
        <w:pPr>
          <w:pStyle w:val="Footer"/>
          <w:rPr>
            <w:noProof/>
          </w:rPr>
        </w:pPr>
        <w:r w:rsidRPr="008A120E">
          <w:rPr>
            <w:b/>
            <w:bCs/>
            <w:sz w:val="20"/>
            <w:szCs w:val="20"/>
          </w:rPr>
          <w:t xml:space="preserve">The following organisations contribute to and participate in the BLMK APC – </w:t>
        </w:r>
        <w:proofErr w:type="spellStart"/>
        <w:r w:rsidRPr="008A120E">
          <w:rPr>
            <w:b/>
            <w:bCs/>
            <w:sz w:val="20"/>
            <w:szCs w:val="20"/>
          </w:rPr>
          <w:t>Bedfordshire,</w:t>
        </w:r>
        <w:proofErr w:type="spellEnd"/>
        <w:r w:rsidRPr="008A120E">
          <w:rPr>
            <w:b/>
            <w:bCs/>
            <w:sz w:val="20"/>
            <w:szCs w:val="20"/>
          </w:rPr>
          <w:t xml:space="preserve"> Luton and Milton Keynes Clinical Commissioning Group; Bedfordshire Hospitals NHS Foundation Trust; Cambridgeshire Community Services NHS Trust; Central and </w:t>
        </w:r>
        <w:proofErr w:type="gramStart"/>
        <w:r w:rsidRPr="008A120E">
          <w:rPr>
            <w:b/>
            <w:bCs/>
            <w:sz w:val="20"/>
            <w:szCs w:val="20"/>
          </w:rPr>
          <w:t>North West</w:t>
        </w:r>
        <w:proofErr w:type="gramEnd"/>
        <w:r w:rsidRPr="008A120E">
          <w:rPr>
            <w:b/>
            <w:bCs/>
            <w:sz w:val="20"/>
            <w:szCs w:val="20"/>
          </w:rPr>
          <w:t xml:space="preserve"> London NHS Foundation Trust; East London NHS Foundation Trust; Milton Keynes University Hospital NHS Foundation Trust</w:t>
        </w:r>
      </w:p>
      <w:p w14:paraId="5C2DEA10" w14:textId="77777777" w:rsidR="002D33D1" w:rsidRDefault="00642EFD" w:rsidP="002D33D1">
        <w:pPr>
          <w:pStyle w:val="Footer"/>
        </w:pPr>
      </w:p>
    </w:sdtContent>
  </w:sdt>
  <w:p w14:paraId="68795B46" w14:textId="77777777" w:rsidR="008A120E" w:rsidRDefault="00642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B71D" w14:textId="77777777" w:rsidR="00000000" w:rsidRDefault="00642EFD">
      <w:r>
        <w:separator/>
      </w:r>
    </w:p>
  </w:footnote>
  <w:footnote w:type="continuationSeparator" w:id="0">
    <w:p w14:paraId="71303E5D" w14:textId="77777777" w:rsidR="00000000" w:rsidRDefault="0064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53FC" w14:textId="77777777" w:rsidR="008A120E" w:rsidRDefault="00642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E1C9" w14:textId="77777777" w:rsidR="008A120E" w:rsidRDefault="00642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9235" w14:textId="77777777" w:rsidR="008A120E" w:rsidRDefault="00642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859"/>
    <w:multiLevelType w:val="hybridMultilevel"/>
    <w:tmpl w:val="86E6B54E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55043A28"/>
    <w:multiLevelType w:val="hybridMultilevel"/>
    <w:tmpl w:val="AED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1B3"/>
    <w:multiLevelType w:val="hybridMultilevel"/>
    <w:tmpl w:val="A2D435F8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5"/>
    <w:rsid w:val="004005CC"/>
    <w:rsid w:val="00642EFD"/>
    <w:rsid w:val="00734911"/>
    <w:rsid w:val="009D7F65"/>
    <w:rsid w:val="00E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8609"/>
  <w15:chartTrackingRefBased/>
  <w15:docId w15:val="{ADC90837-5A3F-4AF3-B790-2166A92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6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65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65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9D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lmkccg.nhs.uk/your-health/individual-funding/policy-and-pro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commissioning-medicines-for-children-specialised-servi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GRAEFF, Anne (NHS BEDFORDSHIRE, LUTON AND MILTON KEYNES ICB - M1J4Y)</dc:creator>
  <cp:keywords/>
  <dc:description/>
  <cp:lastModifiedBy>MCGROARTY, Sandra (NHS BEDFORDSHIRE, LUTON AND MILTON KEYNES ICB - M1J4Y)</cp:lastModifiedBy>
  <cp:revision>2</cp:revision>
  <dcterms:created xsi:type="dcterms:W3CDTF">2023-01-03T10:59:00Z</dcterms:created>
  <dcterms:modified xsi:type="dcterms:W3CDTF">2023-01-03T10:59:00Z</dcterms:modified>
</cp:coreProperties>
</file>